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074" w:rsidRPr="000C4EC5" w:rsidRDefault="006B0074"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noProof/>
          <w:color w:val="000000" w:themeColor="text1"/>
          <w:szCs w:val="20"/>
          <w:lang w:val="el-GR" w:eastAsia="el-GR"/>
        </w:rPr>
        <w:drawing>
          <wp:inline distT="0" distB="0" distL="0" distR="0">
            <wp:extent cx="5936146" cy="585470"/>
            <wp:effectExtent l="0" t="0" r="7620" b="508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ΤΡΕΣΣΑ CLLD LEADER.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36146" cy="585470"/>
                    </a:xfrm>
                    <a:prstGeom prst="rect">
                      <a:avLst/>
                    </a:prstGeom>
                  </pic:spPr>
                </pic:pic>
              </a:graphicData>
            </a:graphic>
          </wp:inline>
        </w:drawing>
      </w:r>
    </w:p>
    <w:p w:rsidR="00933DBE" w:rsidRPr="000C4EC5" w:rsidRDefault="00933DBE"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ΠΕΡΙΛΗΨΗ ΤΗΣ </w:t>
      </w:r>
      <w:r w:rsidR="00786108" w:rsidRPr="000C4EC5">
        <w:rPr>
          <w:rFonts w:ascii="Tahoma" w:hAnsi="Tahoma" w:cs="Tahoma"/>
          <w:b/>
          <w:color w:val="000000" w:themeColor="text1"/>
          <w:szCs w:val="20"/>
          <w:lang w:val="el-GR"/>
        </w:rPr>
        <w:t>2ΗΣ</w:t>
      </w:r>
      <w:r w:rsidRPr="000C4EC5">
        <w:rPr>
          <w:rFonts w:ascii="Tahoma" w:hAnsi="Tahoma" w:cs="Tahoma"/>
          <w:b/>
          <w:color w:val="000000" w:themeColor="text1"/>
          <w:szCs w:val="20"/>
          <w:lang w:val="el-GR"/>
        </w:rPr>
        <w:t xml:space="preserve"> ΠΡΟΣΚΛΗΣΗΣ </w:t>
      </w:r>
      <w:r w:rsidR="00786108" w:rsidRPr="000C4EC5">
        <w:rPr>
          <w:rFonts w:ascii="Tahoma" w:hAnsi="Tahoma" w:cs="Tahoma"/>
          <w:b/>
          <w:color w:val="000000" w:themeColor="text1"/>
          <w:szCs w:val="20"/>
          <w:lang w:val="el-GR"/>
        </w:rPr>
        <w:t xml:space="preserve">(ΥΠ’ ΑΡΙΘ. 14614/24.01.2019) </w:t>
      </w:r>
      <w:r w:rsidRPr="000C4EC5">
        <w:rPr>
          <w:rFonts w:ascii="Tahoma" w:hAnsi="Tahoma" w:cs="Tahoma"/>
          <w:b/>
          <w:color w:val="000000" w:themeColor="text1"/>
          <w:szCs w:val="20"/>
          <w:lang w:val="el-GR"/>
        </w:rPr>
        <w:t>ΓΙΑ ΤΗΝ ΥΠΟΒΟΛΗ ΠΡΟΤΑΣΕΩΝ ΕΡΓΩΝ (ΠΡΑΞΕΩΝ) ΣΤΟ ΠΛΑΙΣΙΟ ΤΟΥ ΜΕΤΡΟΥ 19, ΥΠΟΜΕΤΡΟΥ 19.2 ΤΟΥ ΠΑΑ 2014-2020 (</w:t>
      </w:r>
      <w:r w:rsidRPr="0052720A">
        <w:rPr>
          <w:rFonts w:ascii="Tahoma" w:hAnsi="Tahoma" w:cs="Tahoma"/>
          <w:b/>
          <w:color w:val="000000" w:themeColor="text1"/>
          <w:szCs w:val="20"/>
          <w:u w:val="single"/>
          <w:lang w:val="el-GR"/>
        </w:rPr>
        <w:t xml:space="preserve">ΓΙΑ ΠΑΡΕΜΒΑΣΕΙΣ </w:t>
      </w:r>
      <w:r w:rsidR="00AA0B6A" w:rsidRPr="0052720A">
        <w:rPr>
          <w:rFonts w:ascii="Tahoma" w:hAnsi="Tahoma" w:cs="Tahoma"/>
          <w:b/>
          <w:color w:val="000000" w:themeColor="text1"/>
          <w:szCs w:val="20"/>
          <w:u w:val="single"/>
          <w:lang w:val="el-GR"/>
        </w:rPr>
        <w:t>ΙΔΙΩΤΙΚΟΥ</w:t>
      </w:r>
      <w:r w:rsidRPr="0052720A">
        <w:rPr>
          <w:rFonts w:ascii="Tahoma" w:hAnsi="Tahoma" w:cs="Tahoma"/>
          <w:b/>
          <w:color w:val="000000" w:themeColor="text1"/>
          <w:szCs w:val="20"/>
          <w:u w:val="single"/>
          <w:lang w:val="el-GR"/>
        </w:rPr>
        <w:t xml:space="preserve"> ΧΑΡΑΚΤΗΡΑ</w:t>
      </w:r>
      <w:r w:rsidRPr="000C4EC5">
        <w:rPr>
          <w:rFonts w:ascii="Tahoma" w:hAnsi="Tahoma" w:cs="Tahoma"/>
          <w:b/>
          <w:color w:val="000000" w:themeColor="text1"/>
          <w:szCs w:val="20"/>
          <w:lang w:val="el-GR"/>
        </w:rPr>
        <w:t>)</w:t>
      </w:r>
      <w:r w:rsidR="00A37B3C" w:rsidRPr="000C4EC5">
        <w:rPr>
          <w:rFonts w:ascii="Tahoma" w:hAnsi="Tahoma" w:cs="Tahoma"/>
          <w:b/>
          <w:color w:val="000000" w:themeColor="text1"/>
          <w:szCs w:val="20"/>
          <w:lang w:val="el-GR"/>
        </w:rPr>
        <w:t xml:space="preserve"> ΤΟΥ ΤΟΠΙΚΟΥ ΠΡΟΓΡΑΜΜΑΤΟΣ </w:t>
      </w:r>
      <w:r w:rsidR="00A37B3C" w:rsidRPr="000C4EC5">
        <w:rPr>
          <w:rFonts w:ascii="Tahoma" w:hAnsi="Tahoma" w:cs="Tahoma"/>
          <w:b/>
          <w:color w:val="000000" w:themeColor="text1"/>
          <w:szCs w:val="20"/>
        </w:rPr>
        <w:t>CLLD</w:t>
      </w:r>
      <w:r w:rsidR="00A37B3C" w:rsidRPr="000C4EC5">
        <w:rPr>
          <w:rFonts w:ascii="Tahoma" w:hAnsi="Tahoma" w:cs="Tahoma"/>
          <w:b/>
          <w:color w:val="000000" w:themeColor="text1"/>
          <w:szCs w:val="20"/>
          <w:lang w:val="el-GR"/>
        </w:rPr>
        <w:t>/</w:t>
      </w:r>
      <w:r w:rsidR="00A37B3C" w:rsidRPr="000C4EC5">
        <w:rPr>
          <w:rFonts w:ascii="Tahoma" w:hAnsi="Tahoma" w:cs="Tahoma"/>
          <w:b/>
          <w:color w:val="000000" w:themeColor="text1"/>
          <w:szCs w:val="20"/>
        </w:rPr>
        <w:t>LEADER</w:t>
      </w:r>
      <w:r w:rsidR="00A37B3C" w:rsidRPr="000C4EC5">
        <w:rPr>
          <w:rFonts w:ascii="Tahoma" w:hAnsi="Tahoma" w:cs="Tahoma"/>
          <w:b/>
          <w:color w:val="000000" w:themeColor="text1"/>
          <w:szCs w:val="20"/>
          <w:lang w:val="el-GR"/>
        </w:rPr>
        <w:t xml:space="preserve"> Ν. </w:t>
      </w:r>
      <w:r w:rsidR="004326E1" w:rsidRPr="000C4EC5">
        <w:rPr>
          <w:rFonts w:ascii="Tahoma" w:hAnsi="Tahoma" w:cs="Tahoma"/>
          <w:b/>
          <w:color w:val="000000" w:themeColor="text1"/>
          <w:szCs w:val="20"/>
          <w:lang w:val="el-GR"/>
        </w:rPr>
        <w:t>ΚΑΒΑΛΑΣ</w:t>
      </w:r>
    </w:p>
    <w:p w:rsidR="00933DBE" w:rsidRPr="000C4EC5" w:rsidRDefault="00933DBE" w:rsidP="00BB7D0F">
      <w:pPr>
        <w:widowControl w:val="0"/>
        <w:tabs>
          <w:tab w:val="num" w:pos="0"/>
        </w:tabs>
        <w:spacing w:before="40" w:after="40" w:line="240" w:lineRule="auto"/>
        <w:jc w:val="center"/>
        <w:rPr>
          <w:rFonts w:ascii="Tahoma" w:hAnsi="Tahoma" w:cs="Tahoma"/>
          <w:b/>
          <w:color w:val="000000" w:themeColor="text1"/>
          <w:szCs w:val="20"/>
          <w:lang w:val="el-GR"/>
        </w:rPr>
      </w:pPr>
    </w:p>
    <w:p w:rsidR="0034289A" w:rsidRPr="000C4EC5" w:rsidRDefault="0034289A"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Η </w:t>
      </w:r>
      <w:r w:rsidR="00933DBE" w:rsidRPr="000C4EC5">
        <w:rPr>
          <w:rFonts w:ascii="Tahoma" w:hAnsi="Tahoma" w:cs="Tahoma"/>
          <w:b/>
          <w:color w:val="000000" w:themeColor="text1"/>
          <w:szCs w:val="20"/>
          <w:lang w:val="el-GR"/>
        </w:rPr>
        <w:t xml:space="preserve">ΟΜΑΔΑ ΤΟΠΙΚΗΣ ΔΡΑΣΗΣ (ΟΤΔ) </w:t>
      </w:r>
    </w:p>
    <w:p w:rsidR="006B0074" w:rsidRDefault="002808D9" w:rsidP="00BB7D0F">
      <w:pPr>
        <w:widowControl w:val="0"/>
        <w:tabs>
          <w:tab w:val="num" w:pos="0"/>
        </w:tabs>
        <w:spacing w:before="40" w:after="40" w:line="240" w:lineRule="auto"/>
        <w:jc w:val="center"/>
        <w:rPr>
          <w:rFonts w:ascii="Tahoma" w:hAnsi="Tahoma" w:cs="Tahoma"/>
          <w:b/>
          <w:color w:val="000000" w:themeColor="text1"/>
          <w:szCs w:val="20"/>
          <w:lang w:val="el-GR"/>
        </w:rPr>
      </w:pPr>
      <w:r w:rsidRPr="000C4EC5">
        <w:rPr>
          <w:rFonts w:ascii="Tahoma" w:hAnsi="Tahoma" w:cs="Tahoma"/>
          <w:b/>
          <w:noProof/>
          <w:color w:val="000000" w:themeColor="text1"/>
          <w:szCs w:val="20"/>
          <w:lang w:val="el-GR" w:eastAsia="el-GR"/>
        </w:rPr>
        <w:drawing>
          <wp:inline distT="0" distB="0" distL="0" distR="0">
            <wp:extent cx="1666875" cy="870942"/>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ANK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92863" cy="884521"/>
                    </a:xfrm>
                    <a:prstGeom prst="rect">
                      <a:avLst/>
                    </a:prstGeom>
                  </pic:spPr>
                </pic:pic>
              </a:graphicData>
            </a:graphic>
          </wp:inline>
        </w:drawing>
      </w:r>
    </w:p>
    <w:p w:rsidR="00B76027" w:rsidRDefault="00B76027" w:rsidP="00BB7D0F">
      <w:pPr>
        <w:widowControl w:val="0"/>
        <w:tabs>
          <w:tab w:val="num" w:pos="0"/>
        </w:tabs>
        <w:spacing w:before="40" w:after="40" w:line="240" w:lineRule="auto"/>
        <w:jc w:val="center"/>
        <w:rPr>
          <w:rFonts w:ascii="Tahoma" w:hAnsi="Tahoma" w:cs="Tahoma"/>
          <w:b/>
          <w:color w:val="000000" w:themeColor="text1"/>
          <w:szCs w:val="20"/>
          <w:lang w:val="el-GR"/>
        </w:rPr>
      </w:pPr>
      <w:r>
        <w:rPr>
          <w:rFonts w:ascii="Tahoma" w:hAnsi="Tahoma" w:cs="Tahoma"/>
          <w:b/>
          <w:color w:val="000000" w:themeColor="text1"/>
          <w:szCs w:val="20"/>
          <w:lang w:val="el-GR"/>
        </w:rPr>
        <w:t>ΑΝΑΠΤΥΞΙΑΚΗ ΚΑΒΑΛΑΣ – ΑΝΑΠΤΥΞΙΑΚΗ ΑΝΩΝΥΜΗ ΕΤΑΙΡΕΙΑ Ο.Τ.Α.</w:t>
      </w:r>
    </w:p>
    <w:p w:rsidR="00B76027" w:rsidRPr="000C4EC5" w:rsidRDefault="00B76027" w:rsidP="00BB7D0F">
      <w:pPr>
        <w:widowControl w:val="0"/>
        <w:tabs>
          <w:tab w:val="num" w:pos="0"/>
        </w:tabs>
        <w:spacing w:before="40" w:after="40" w:line="240" w:lineRule="auto"/>
        <w:jc w:val="center"/>
        <w:rPr>
          <w:rFonts w:ascii="Tahoma" w:hAnsi="Tahoma" w:cs="Tahoma"/>
          <w:b/>
          <w:color w:val="000000" w:themeColor="text1"/>
          <w:szCs w:val="20"/>
          <w:lang w:val="el-GR"/>
        </w:rPr>
      </w:pPr>
    </w:p>
    <w:p w:rsidR="0034289A" w:rsidRPr="000C4EC5" w:rsidRDefault="0034289A" w:rsidP="00BB7D0F">
      <w:pPr>
        <w:widowControl w:val="0"/>
        <w:tabs>
          <w:tab w:val="num" w:pos="0"/>
          <w:tab w:val="num" w:pos="284"/>
        </w:tabs>
        <w:spacing w:before="40" w:after="40" w:line="240" w:lineRule="auto"/>
        <w:ind w:left="284" w:hanging="284"/>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Έχοντας υπόψη: </w:t>
      </w:r>
    </w:p>
    <w:p w:rsidR="0034289A" w:rsidRPr="000C4EC5" w:rsidRDefault="0034289A" w:rsidP="00BB7D0F">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Την με αρ. πρωτ. </w:t>
      </w:r>
      <w:r w:rsidR="00525734" w:rsidRPr="000C4EC5">
        <w:rPr>
          <w:rFonts w:ascii="Tahoma" w:hAnsi="Tahoma" w:cs="Tahoma"/>
          <w:color w:val="000000" w:themeColor="text1"/>
          <w:szCs w:val="20"/>
          <w:lang w:val="el-GR"/>
        </w:rPr>
        <w:t>3/Π</w:t>
      </w:r>
      <w:r w:rsidR="00AA724F" w:rsidRPr="000C4EC5">
        <w:rPr>
          <w:rFonts w:ascii="Tahoma" w:hAnsi="Tahoma" w:cs="Tahoma"/>
          <w:color w:val="000000" w:themeColor="text1"/>
          <w:szCs w:val="20"/>
          <w:lang w:val="el-GR"/>
        </w:rPr>
        <w:t>ΡΑΚΤ</w:t>
      </w:r>
      <w:r w:rsidR="00525734" w:rsidRPr="000C4EC5">
        <w:rPr>
          <w:rFonts w:ascii="Tahoma" w:hAnsi="Tahoma" w:cs="Tahoma"/>
          <w:color w:val="000000" w:themeColor="text1"/>
          <w:szCs w:val="20"/>
          <w:lang w:val="el-GR"/>
        </w:rPr>
        <w:t>.14/16.11.2018</w:t>
      </w:r>
      <w:r w:rsidRPr="000C4EC5">
        <w:rPr>
          <w:rFonts w:ascii="Tahoma" w:hAnsi="Tahoma" w:cs="Tahoma"/>
          <w:color w:val="000000" w:themeColor="text1"/>
          <w:szCs w:val="20"/>
          <w:lang w:val="el-GR"/>
        </w:rPr>
        <w:t xml:space="preserve"> απόφαση της ΕΔΠ CLLD/LEADER Ν. </w:t>
      </w:r>
      <w:r w:rsidR="00525734" w:rsidRPr="000C4EC5">
        <w:rPr>
          <w:rFonts w:ascii="Tahoma" w:hAnsi="Tahoma" w:cs="Tahoma"/>
          <w:color w:val="000000" w:themeColor="text1"/>
          <w:szCs w:val="20"/>
          <w:lang w:val="el-GR"/>
        </w:rPr>
        <w:t>Καβάλας</w:t>
      </w:r>
      <w:r w:rsidRPr="000C4EC5">
        <w:rPr>
          <w:rFonts w:ascii="Tahoma" w:hAnsi="Tahoma" w:cs="Tahoma"/>
          <w:color w:val="000000" w:themeColor="text1"/>
          <w:szCs w:val="20"/>
          <w:lang w:val="el-GR"/>
        </w:rPr>
        <w:t xml:space="preserve">, </w:t>
      </w:r>
    </w:p>
    <w:p w:rsidR="0034289A" w:rsidRDefault="005D305F" w:rsidP="00BB7D0F">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Το με αρ. πρωτ. </w:t>
      </w:r>
      <w:r w:rsidR="0052720A" w:rsidRPr="0052720A">
        <w:rPr>
          <w:rFonts w:ascii="Tahoma" w:hAnsi="Tahoma" w:cs="Tahoma"/>
          <w:color w:val="000000" w:themeColor="text1"/>
          <w:szCs w:val="20"/>
          <w:lang w:val="el-GR"/>
        </w:rPr>
        <w:t>529</w:t>
      </w:r>
      <w:r w:rsidRPr="000C4EC5">
        <w:rPr>
          <w:rFonts w:ascii="Tahoma" w:hAnsi="Tahoma" w:cs="Tahoma"/>
          <w:color w:val="000000" w:themeColor="text1"/>
          <w:szCs w:val="20"/>
          <w:lang w:val="el-GR"/>
        </w:rPr>
        <w:t>/</w:t>
      </w:r>
      <w:r w:rsidR="0052720A" w:rsidRPr="0052720A">
        <w:rPr>
          <w:rFonts w:ascii="Tahoma" w:hAnsi="Tahoma" w:cs="Tahoma"/>
          <w:color w:val="000000" w:themeColor="text1"/>
          <w:szCs w:val="20"/>
          <w:lang w:val="el-GR"/>
        </w:rPr>
        <w:t>20</w:t>
      </w:r>
      <w:r w:rsidRPr="000C4EC5">
        <w:rPr>
          <w:rFonts w:ascii="Tahoma" w:hAnsi="Tahoma" w:cs="Tahoma"/>
          <w:color w:val="000000" w:themeColor="text1"/>
          <w:szCs w:val="20"/>
          <w:lang w:val="el-GR"/>
        </w:rPr>
        <w:t>.</w:t>
      </w:r>
      <w:r w:rsidR="0052720A" w:rsidRPr="0052720A">
        <w:rPr>
          <w:rFonts w:ascii="Tahoma" w:hAnsi="Tahoma" w:cs="Tahoma"/>
          <w:color w:val="000000" w:themeColor="text1"/>
          <w:szCs w:val="20"/>
          <w:lang w:val="el-GR"/>
        </w:rPr>
        <w:t>02</w:t>
      </w:r>
      <w:r w:rsidRPr="000C4EC5">
        <w:rPr>
          <w:rFonts w:ascii="Tahoma" w:hAnsi="Tahoma" w:cs="Tahoma"/>
          <w:color w:val="000000" w:themeColor="text1"/>
          <w:szCs w:val="20"/>
          <w:lang w:val="el-GR"/>
        </w:rPr>
        <w:t>.201</w:t>
      </w:r>
      <w:r w:rsidR="0052720A" w:rsidRPr="0052720A">
        <w:rPr>
          <w:rFonts w:ascii="Tahoma" w:hAnsi="Tahoma" w:cs="Tahoma"/>
          <w:color w:val="000000" w:themeColor="text1"/>
          <w:szCs w:val="20"/>
          <w:lang w:val="el-GR"/>
        </w:rPr>
        <w:t>9</w:t>
      </w:r>
      <w:r w:rsidRPr="000C4EC5">
        <w:rPr>
          <w:rFonts w:ascii="Tahoma" w:hAnsi="Tahoma" w:cs="Tahoma"/>
          <w:color w:val="000000" w:themeColor="text1"/>
          <w:szCs w:val="20"/>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rsidR="0052720A" w:rsidRPr="0052720A" w:rsidRDefault="0052720A" w:rsidP="0052720A">
      <w:pPr>
        <w:pStyle w:val="a5"/>
        <w:widowControl w:val="0"/>
        <w:numPr>
          <w:ilvl w:val="0"/>
          <w:numId w:val="14"/>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Το με αρ. πρωτ. </w:t>
      </w:r>
      <w:r w:rsidRPr="0052720A">
        <w:rPr>
          <w:rFonts w:ascii="Tahoma" w:hAnsi="Tahoma" w:cs="Tahoma"/>
          <w:color w:val="000000" w:themeColor="text1"/>
          <w:szCs w:val="20"/>
          <w:lang w:val="el-GR"/>
        </w:rPr>
        <w:t>32727</w:t>
      </w:r>
      <w:r w:rsidRPr="000C4EC5">
        <w:rPr>
          <w:rFonts w:ascii="Tahoma" w:hAnsi="Tahoma" w:cs="Tahoma"/>
          <w:color w:val="000000" w:themeColor="text1"/>
          <w:szCs w:val="20"/>
          <w:lang w:val="el-GR"/>
        </w:rPr>
        <w:t>/</w:t>
      </w:r>
      <w:r>
        <w:rPr>
          <w:rFonts w:ascii="Tahoma" w:hAnsi="Tahoma" w:cs="Tahoma"/>
          <w:color w:val="000000" w:themeColor="text1"/>
          <w:szCs w:val="20"/>
        </w:rPr>
        <w:t>EYKE</w:t>
      </w:r>
      <w:r w:rsidRPr="0052720A">
        <w:rPr>
          <w:rFonts w:ascii="Tahoma" w:hAnsi="Tahoma" w:cs="Tahoma"/>
          <w:color w:val="000000" w:themeColor="text1"/>
          <w:szCs w:val="20"/>
          <w:lang w:val="el-GR"/>
        </w:rPr>
        <w:t>/399/20</w:t>
      </w:r>
      <w:r w:rsidRPr="000C4EC5">
        <w:rPr>
          <w:rFonts w:ascii="Tahoma" w:hAnsi="Tahoma" w:cs="Tahoma"/>
          <w:color w:val="000000" w:themeColor="text1"/>
          <w:szCs w:val="20"/>
          <w:lang w:val="el-GR"/>
        </w:rPr>
        <w:t>.</w:t>
      </w:r>
      <w:r w:rsidRPr="0052720A">
        <w:rPr>
          <w:rFonts w:ascii="Tahoma" w:hAnsi="Tahoma" w:cs="Tahoma"/>
          <w:color w:val="000000" w:themeColor="text1"/>
          <w:szCs w:val="20"/>
          <w:lang w:val="el-GR"/>
        </w:rPr>
        <w:t>03</w:t>
      </w:r>
      <w:r w:rsidRPr="000C4EC5">
        <w:rPr>
          <w:rFonts w:ascii="Tahoma" w:hAnsi="Tahoma" w:cs="Tahoma"/>
          <w:color w:val="000000" w:themeColor="text1"/>
          <w:szCs w:val="20"/>
          <w:lang w:val="el-GR"/>
        </w:rPr>
        <w:t>.201</w:t>
      </w:r>
      <w:r w:rsidRPr="0052720A">
        <w:rPr>
          <w:rFonts w:ascii="Tahoma" w:hAnsi="Tahoma" w:cs="Tahoma"/>
          <w:color w:val="000000" w:themeColor="text1"/>
          <w:szCs w:val="20"/>
          <w:lang w:val="el-GR"/>
        </w:rPr>
        <w:t>9</w:t>
      </w:r>
      <w:r w:rsidRPr="000C4EC5">
        <w:rPr>
          <w:rFonts w:ascii="Tahoma" w:hAnsi="Tahoma" w:cs="Tahoma"/>
          <w:color w:val="000000" w:themeColor="text1"/>
          <w:szCs w:val="20"/>
          <w:lang w:val="el-GR"/>
        </w:rPr>
        <w:t xml:space="preserve"> έγγραφο της Ειδικής Υπηρεσίας </w:t>
      </w:r>
      <w:r>
        <w:rPr>
          <w:rFonts w:ascii="Tahoma" w:hAnsi="Tahoma" w:cs="Tahoma"/>
          <w:color w:val="000000" w:themeColor="text1"/>
          <w:szCs w:val="20"/>
          <w:lang w:val="el-GR"/>
        </w:rPr>
        <w:t>Κρατικών Ενισχύσεων</w:t>
      </w:r>
      <w:r w:rsidRPr="000C4EC5">
        <w:rPr>
          <w:rFonts w:ascii="Tahoma" w:hAnsi="Tahoma" w:cs="Tahoma"/>
          <w:color w:val="000000" w:themeColor="text1"/>
          <w:szCs w:val="20"/>
          <w:lang w:val="el-GR"/>
        </w:rPr>
        <w:t xml:space="preserve"> (ΕΥ</w:t>
      </w:r>
      <w:r>
        <w:rPr>
          <w:rFonts w:ascii="Tahoma" w:hAnsi="Tahoma" w:cs="Tahoma"/>
          <w:color w:val="000000" w:themeColor="text1"/>
          <w:szCs w:val="20"/>
          <w:lang w:val="el-GR"/>
        </w:rPr>
        <w:t>ΚΕ</w:t>
      </w:r>
      <w:r w:rsidRPr="000C4EC5">
        <w:rPr>
          <w:rFonts w:ascii="Tahoma" w:hAnsi="Tahoma" w:cs="Tahoma"/>
          <w:color w:val="000000" w:themeColor="text1"/>
          <w:szCs w:val="20"/>
          <w:lang w:val="el-GR"/>
        </w:rPr>
        <w:t>)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rsidR="0034289A" w:rsidRPr="000C4EC5" w:rsidRDefault="0034289A" w:rsidP="00BB7D0F">
      <w:pPr>
        <w:widowControl w:val="0"/>
        <w:tabs>
          <w:tab w:val="num" w:pos="0"/>
          <w:tab w:val="num" w:pos="284"/>
        </w:tabs>
        <w:spacing w:before="40" w:after="40" w:line="240" w:lineRule="auto"/>
        <w:ind w:left="284" w:hanging="284"/>
        <w:jc w:val="center"/>
        <w:rPr>
          <w:rFonts w:ascii="Tahoma" w:hAnsi="Tahoma" w:cs="Tahoma"/>
          <w:b/>
          <w:color w:val="000000" w:themeColor="text1"/>
          <w:szCs w:val="20"/>
          <w:lang w:val="el-GR"/>
        </w:rPr>
      </w:pPr>
      <w:r w:rsidRPr="000C4EC5">
        <w:rPr>
          <w:rFonts w:ascii="Tahoma" w:hAnsi="Tahoma" w:cs="Tahoma"/>
          <w:b/>
          <w:color w:val="000000" w:themeColor="text1"/>
          <w:szCs w:val="20"/>
          <w:lang w:val="el-GR"/>
        </w:rPr>
        <w:t>Κ Α Λ Ε Ι</w:t>
      </w:r>
    </w:p>
    <w:p w:rsidR="00894207" w:rsidRPr="000C4EC5" w:rsidRDefault="0052720A" w:rsidP="00BB7D0F">
      <w:pPr>
        <w:tabs>
          <w:tab w:val="num" w:pos="0"/>
        </w:tabs>
        <w:spacing w:before="40" w:after="40" w:line="240" w:lineRule="auto"/>
        <w:rPr>
          <w:rFonts w:ascii="Tahoma" w:hAnsi="Tahoma" w:cs="Tahoma"/>
          <w:color w:val="000000" w:themeColor="text1"/>
          <w:szCs w:val="20"/>
          <w:lang w:val="el-GR"/>
        </w:rPr>
      </w:pPr>
      <w:r w:rsidRPr="0052720A">
        <w:rPr>
          <w:rFonts w:ascii="Tahoma" w:hAnsi="Tahoma" w:cs="Tahoma"/>
          <w:color w:val="000000" w:themeColor="text1"/>
          <w:szCs w:val="20"/>
          <w:lang w:val="el-GR"/>
        </w:rPr>
        <w:t>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υπ’ αριθ. 2635/13-09-2017 ΚΥΑ (ΦΕΚ 3313/Β/20-09-2017) περί πλαισίου λειτουργίας και υπ’ αριθ. 13214/30-11-2017 ΥΑ (ΦΕΚ 4268/Β/06-12-2017) «Πλαίσιο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Ιδιωτικού χαρακτήρα και λοιπές</w:t>
      </w:r>
      <w:bookmarkStart w:id="0" w:name="_GoBack"/>
      <w:bookmarkEnd w:id="0"/>
      <w:r w:rsidRPr="0052720A">
        <w:rPr>
          <w:rFonts w:ascii="Tahoma" w:hAnsi="Tahoma" w:cs="Tahoma"/>
          <w:color w:val="000000" w:themeColor="text1"/>
          <w:szCs w:val="20"/>
          <w:lang w:val="el-GR"/>
        </w:rPr>
        <w:t xml:space="preserve"> διατάξεις εφαρμογής των τοπικών προγραμμάτων» όπως τροποποιείται και ισχύει καθώς και στο Τοπικό Πρόγραμμα CLLD/LEADER Ν. Καβάλας της ΟΤΔ «Αναπτυξιακή Καβάλας - ΑΑΕ ΟΤΑ» να υποβάλλουν αιτήσεις στήριξης στο πλαίσιο των</w:t>
      </w:r>
      <w:r>
        <w:rPr>
          <w:rFonts w:ascii="Tahoma" w:hAnsi="Tahoma" w:cs="Tahoma"/>
          <w:color w:val="000000" w:themeColor="text1"/>
          <w:szCs w:val="20"/>
          <w:lang w:val="el-GR"/>
        </w:rPr>
        <w:t xml:space="preserve"> κάτωθι</w:t>
      </w:r>
      <w:r w:rsidRPr="0052720A">
        <w:rPr>
          <w:rFonts w:ascii="Tahoma" w:hAnsi="Tahoma" w:cs="Tahoma"/>
          <w:color w:val="000000" w:themeColor="text1"/>
          <w:szCs w:val="20"/>
          <w:lang w:val="el-GR"/>
        </w:rPr>
        <w:t xml:space="preserve"> υποδράσεων του Υπομέτρου 19.2</w:t>
      </w:r>
      <w:r w:rsidR="00894207" w:rsidRPr="000C4EC5">
        <w:rPr>
          <w:rFonts w:ascii="Tahoma" w:hAnsi="Tahoma" w:cs="Tahoma"/>
          <w:color w:val="000000" w:themeColor="text1"/>
          <w:szCs w:val="20"/>
          <w:lang w:val="el-GR"/>
        </w:rPr>
        <w:t>:</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19.2.1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Μεταφορά γνώσεων &amp; ενημέρωσης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19.2.2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Ανάπτυξη / βελτίωση της επιχειρηματικότητας και ανταγωνιστικότητας της περιοχής εφαρμογής σε εξειδικευμένους τομείς, περιοχές ή δικαιούχους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19.2.3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Οριζόντια ενίσχυση στην ανάπτυξη / βελτίωση της επιχειρηματικότητας και ανταγωνιστικότητας της περιοχής εφαρμογής</w:t>
      </w:r>
    </w:p>
    <w:p w:rsidR="00AA0B6A" w:rsidRPr="000C4EC5" w:rsidRDefault="00AA0B6A" w:rsidP="00BB7D0F">
      <w:pPr>
        <w:pStyle w:val="a5"/>
        <w:numPr>
          <w:ilvl w:val="0"/>
          <w:numId w:val="3"/>
        </w:num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19.2.7 </w:t>
      </w:r>
      <w:r w:rsidR="00C05203"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Συνεργασία μεταξύ διαφορετικών παραγόντων</w:t>
      </w:r>
    </w:p>
    <w:p w:rsidR="00AE6EDA" w:rsidRPr="000C4EC5" w:rsidRDefault="00AE6EDA" w:rsidP="00BB7D0F">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δράσεις εφαρμόζονται σε όλη την περιοχή εφαρμογής του Τοπικού Προγράμματος</w:t>
      </w:r>
      <w:r w:rsidR="004D3018" w:rsidRPr="000C4EC5">
        <w:rPr>
          <w:rFonts w:ascii="Tahoma" w:hAnsi="Tahoma" w:cs="Tahoma"/>
          <w:color w:val="000000" w:themeColor="text1"/>
          <w:szCs w:val="20"/>
          <w:lang w:val="el-GR"/>
        </w:rPr>
        <w:t xml:space="preserve"> CLLD/LEADER Ν. </w:t>
      </w:r>
      <w:r w:rsidR="00C05203" w:rsidRPr="000C4EC5">
        <w:rPr>
          <w:rFonts w:ascii="Tahoma" w:hAnsi="Tahoma" w:cs="Tahoma"/>
          <w:color w:val="000000" w:themeColor="text1"/>
          <w:szCs w:val="20"/>
          <w:lang w:val="el-GR"/>
        </w:rPr>
        <w:t xml:space="preserve">Καβάλας ήτοι στο σύνολο των Δήμων Παγγαίου, Θάσου, Νέστου και Καβάλας εκτός της Δημοτικής </w:t>
      </w:r>
      <w:r w:rsidR="0060550C">
        <w:rPr>
          <w:rFonts w:ascii="Tahoma" w:hAnsi="Tahoma" w:cs="Tahoma"/>
          <w:color w:val="000000" w:themeColor="text1"/>
          <w:szCs w:val="20"/>
          <w:lang w:val="el-GR"/>
        </w:rPr>
        <w:t>Ενότητας</w:t>
      </w:r>
      <w:r w:rsidR="00C05203" w:rsidRPr="000C4EC5">
        <w:rPr>
          <w:rFonts w:ascii="Tahoma" w:hAnsi="Tahoma" w:cs="Tahoma"/>
          <w:color w:val="000000" w:themeColor="text1"/>
          <w:szCs w:val="20"/>
          <w:lang w:val="el-GR"/>
        </w:rPr>
        <w:t xml:space="preserve"> Καβάλας.</w:t>
      </w:r>
      <w:r w:rsidR="004D3018" w:rsidRPr="000C4EC5">
        <w:rPr>
          <w:rFonts w:ascii="Tahoma" w:hAnsi="Tahoma" w:cs="Tahoma"/>
          <w:color w:val="000000" w:themeColor="text1"/>
          <w:szCs w:val="20"/>
          <w:lang w:val="el-GR"/>
        </w:rPr>
        <w:t xml:space="preserve"> Η συγχρηματοδοτούμενη Δημόσια Δαπάνη που διατίθεται για την ένταξη πράξεων με την παρούσα πρόσκληση, ανέρχεται ενδεικτικά σε </w:t>
      </w:r>
      <w:r w:rsidR="00AA0B6A" w:rsidRPr="000C4EC5">
        <w:rPr>
          <w:rFonts w:ascii="Tahoma" w:hAnsi="Tahoma" w:cs="Tahoma"/>
          <w:b/>
          <w:color w:val="000000" w:themeColor="text1"/>
          <w:szCs w:val="20"/>
          <w:lang w:val="el-GR"/>
        </w:rPr>
        <w:t>3.</w:t>
      </w:r>
      <w:r w:rsidR="00765FE4" w:rsidRPr="000C4EC5">
        <w:rPr>
          <w:rFonts w:ascii="Tahoma" w:hAnsi="Tahoma" w:cs="Tahoma"/>
          <w:b/>
          <w:color w:val="000000" w:themeColor="text1"/>
          <w:szCs w:val="20"/>
          <w:lang w:val="el-GR"/>
        </w:rPr>
        <w:t>273</w:t>
      </w:r>
      <w:r w:rsidR="00AA0B6A" w:rsidRPr="000C4EC5">
        <w:rPr>
          <w:rFonts w:ascii="Tahoma" w:hAnsi="Tahoma" w:cs="Tahoma"/>
          <w:b/>
          <w:color w:val="000000" w:themeColor="text1"/>
          <w:szCs w:val="20"/>
          <w:lang w:val="el-GR"/>
        </w:rPr>
        <w:t>.</w:t>
      </w:r>
      <w:r w:rsidR="00997CB5">
        <w:rPr>
          <w:rFonts w:ascii="Tahoma" w:hAnsi="Tahoma" w:cs="Tahoma"/>
          <w:b/>
          <w:color w:val="000000" w:themeColor="text1"/>
          <w:szCs w:val="20"/>
          <w:lang w:val="el-GR"/>
        </w:rPr>
        <w:t>0</w:t>
      </w:r>
      <w:r w:rsidR="00AA0B6A" w:rsidRPr="000C4EC5">
        <w:rPr>
          <w:rFonts w:ascii="Tahoma" w:hAnsi="Tahoma" w:cs="Tahoma"/>
          <w:b/>
          <w:color w:val="000000" w:themeColor="text1"/>
          <w:szCs w:val="20"/>
          <w:lang w:val="el-GR"/>
        </w:rPr>
        <w:t>00,00 €</w:t>
      </w:r>
      <w:r w:rsidR="004D3018" w:rsidRPr="000C4EC5">
        <w:rPr>
          <w:rFonts w:ascii="Tahoma" w:hAnsi="Tahoma" w:cs="Tahoma"/>
          <w:color w:val="000000" w:themeColor="text1"/>
          <w:szCs w:val="20"/>
          <w:lang w:val="el-GR"/>
        </w:rPr>
        <w:t xml:space="preserve">. </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Αναλυτικότερα, οι υποδράσεις που δύναται να υλοποιηθούν, μέσω των τοπικών στρατηγικών, όσον αφορά σε </w:t>
      </w:r>
      <w:r w:rsidR="00AA781D" w:rsidRPr="000C4EC5">
        <w:rPr>
          <w:rFonts w:ascii="Tahoma" w:hAnsi="Tahoma" w:cs="Tahoma"/>
          <w:color w:val="000000" w:themeColor="text1"/>
          <w:szCs w:val="20"/>
          <w:lang w:val="el-GR"/>
        </w:rPr>
        <w:t xml:space="preserve">ιδιωτικού </w:t>
      </w:r>
      <w:r w:rsidRPr="000C4EC5">
        <w:rPr>
          <w:rFonts w:ascii="Tahoma" w:hAnsi="Tahoma" w:cs="Tahoma"/>
          <w:color w:val="000000" w:themeColor="text1"/>
          <w:szCs w:val="20"/>
          <w:lang w:val="el-GR"/>
        </w:rPr>
        <w:t>χαρακτήρα παρεμβάσεις είναι οι ακόλουθες:</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AA0B6A"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19.2.1.1 Μεταφορά γνώσεων &amp; ενημέρωσης στο γεωργικό και το δασικό τομέα</w:t>
      </w:r>
    </w:p>
    <w:p w:rsidR="008859A0" w:rsidRPr="000C4EC5" w:rsidRDefault="00C05203"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υποδράση στοχεύει στην ενίσχυση των γνώσεων και των δεξιοτήτων του ανθρώπινου δυναμικού του γεωργικού τομέα, σε θέματα κυρίως ενσωμάτωσης μεθόδων φιλικών προς το περιβάλλον και την ορθολογική διαχείριση των φυσικών πόρων. Συγκεκριμένα περιλαμβάνει τη στήριξη δράσεων μεταφοράς γνώσεων και ενημέρωσης στους τομείς (ενδεικτικά): περιβάλλον και κλιματική αλλαγή, καινοτομία και αγροδιατροφικός τομέας, ανταγωνιστικότητα επιχειρήσεων και ηλεκτρονικό εμπόριο, υγιεινή και ασφάλεια, οργάνωση και διοίκηση. Στην υποδράση μπορούν να ενταχθούν ενέργειες απόκτησης </w:t>
      </w:r>
      <w:r w:rsidRPr="000C4EC5">
        <w:rPr>
          <w:rFonts w:ascii="Tahoma" w:hAnsi="Tahoma" w:cs="Tahoma"/>
          <w:color w:val="000000" w:themeColor="text1"/>
          <w:szCs w:val="20"/>
          <w:lang w:val="el-GR"/>
        </w:rPr>
        <w:lastRenderedPageBreak/>
        <w:t xml:space="preserve">επαγγελματικών δεξιοτήτων, συμπεριλαμβανομένων των σεμιναρίων επιμόρφωσης, εργαστηρίων, δραστηριότητες επίδειξης και δράσεις ενημέρωσης. Οι ανωτέρω ενέργειες θα καλύπτουν ποικίλες θεματικές ενότητες όπως: περιβάλλον, κλιματική αλλαγή, καινοτομία και αγροδιατροφικό τομέα, ανταγωνιστικότητα και ηλεκτρονικό εμπόριο, υγιεινή και ασφάλεια, οργάνωση, διοίκηση και μάρκετινγκ ΜΜΕ, νέες καλλιέργειες, νέες καλλιεργητικές μέθοδοι και τρόποι/συστήματα παραγωγής, καθώς και ότι άλλο συνδέεται και ωφελεί το γεωργικό και δασικό κλάδο της τοπικής παραγωγής. </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C05203" w:rsidRPr="000C4EC5">
        <w:rPr>
          <w:rFonts w:ascii="Tahoma" w:hAnsi="Tahoma" w:cs="Tahoma"/>
          <w:color w:val="000000" w:themeColor="text1"/>
          <w:szCs w:val="20"/>
          <w:lang w:val="el-GR"/>
        </w:rPr>
        <w:t>Δημόσιοι ή ιδιωτικοί φορείς που υλοποιούν δράσεις επαγγελματικής κατάρτισης, απόκτησης δεξιοτήτων και επίδειξης και ενημέρωσης.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AA724F" w:rsidRPr="000C4EC5">
        <w:rPr>
          <w:rFonts w:ascii="Tahoma" w:hAnsi="Tahoma" w:cs="Tahoma"/>
          <w:color w:val="000000" w:themeColor="text1"/>
          <w:szCs w:val="20"/>
          <w:lang w:val="el-GR"/>
        </w:rPr>
        <w:t>100% για προϋπολογισμό έως 20.000,00 € [Καν. (ΕΕ) 1407/13 de minimis]</w:t>
      </w:r>
      <w:r w:rsidR="00727C28" w:rsidRPr="000C4EC5">
        <w:rPr>
          <w:rFonts w:ascii="Tahoma" w:hAnsi="Tahoma" w:cs="Tahoma"/>
          <w:color w:val="000000" w:themeColor="text1"/>
          <w:szCs w:val="20"/>
          <w:lang w:val="el-GR"/>
        </w:rPr>
        <w:t>.</w:t>
      </w:r>
    </w:p>
    <w:p w:rsidR="00AE6EDA" w:rsidRPr="000C4EC5" w:rsidRDefault="00AE6EDA"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B7D0F" w:rsidRPr="000C4EC5">
        <w:rPr>
          <w:rFonts w:ascii="Tahoma" w:hAnsi="Tahoma" w:cs="Tahoma"/>
          <w:b/>
          <w:color w:val="000000" w:themeColor="text1"/>
          <w:szCs w:val="20"/>
          <w:lang w:val="el-GR"/>
        </w:rPr>
        <w:t>4</w:t>
      </w:r>
      <w:r w:rsidR="004D3018" w:rsidRPr="000C4EC5">
        <w:rPr>
          <w:rFonts w:ascii="Tahoma" w:hAnsi="Tahoma" w:cs="Tahoma"/>
          <w:b/>
          <w:color w:val="000000" w:themeColor="text1"/>
          <w:szCs w:val="20"/>
          <w:lang w:val="el-GR"/>
        </w:rPr>
        <w:t>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A8497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19.2.1.2 Μεταφορά γνώσεων &amp; ενημέρωσης σε ΜΜΕ αγροτικών περιοχών</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Στην περιοχή παρέμβασης κυριαρχεί ο μικρός και οικογενειακός χαρακτήρας των επιχειρήσεων στη μεταποίηση και η συνακόλουθη απουσία σύγχρονων μεθόδων οργάνωσης και διοίκησής τους, η έλλειψη οργανωμένης και επιστημονικά υποστηριζόμενης προσπάθειας εξωστρέφειας των τοπικών επιχειρήσεων, η περιορισμένη χρήση νέων τεχνολογιών και η εφαρμογή καινοτομίας στην παραγωγική διαδικασία, καθώς και η εξάρτηση από συμβατικές μορφές ενέργειας.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Στο πλαίσιο της υποδράσης προγραμματίζονται ενέργειες μεταφοράς γνώσεων και ενημέρωσης, με στόχο την ενίσχυση του ανθρώπινου δυναμικού των αγροτικών περιοχών  και ειδικότερα  των πολύ μικρών και μικρομεσαίων επιχειρήσεων (ΜΜΕ), με στόχο την αναβάθμιση των δεξιοτήτων των ανθρώπινων πόρων για την αύξηση της ανταγωνιστικότητας και την εφαρμογή μεθόδων φιλικών προς το περιβάλλον.</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υποδράση περιλαμβάνει πρόγραμμα θεωρητικής κατάρτισης και επιδεικτικών επισκέψεων για θέματα του αγροδιατροφικού τομέα, περιβάλλοντος, κλιματικής αλλαγής, καινοτομίας. </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Πιο συγκεκριμένα κάθε πρόγραμμα θα περιλαμβάνει:</w:t>
      </w:r>
    </w:p>
    <w:p w:rsidR="00BB7D0F" w:rsidRPr="000C4EC5" w:rsidRDefault="00BB7D0F" w:rsidP="00BB7D0F">
      <w:pPr>
        <w:pStyle w:val="a5"/>
        <w:widowControl w:val="0"/>
        <w:numPr>
          <w:ilvl w:val="0"/>
          <w:numId w:val="23"/>
        </w:numPr>
        <w:spacing w:before="40" w:after="40" w:line="240" w:lineRule="auto"/>
        <w:ind w:left="366" w:hanging="366"/>
        <w:contextualSpacing/>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Επιμορφωτικά εργαστήρια, στα οποία θα πραγματοποιείται θεωρητική κατάρτιση με ιδιαίτερη αναφορά στην σχέση παραγωγής - εμπορίας  προϊόντων με το περιβάλλον και την κλιματική αλλαγή, στην παραγωγή ποιοτικών προϊόντων, στην εφαρμογή της καινοτομίας και των νέων τεχνολογιών στις επιχειρήσεις μεταποίησης, εμπορίας γεωργικών προϊόντων.</w:t>
      </w:r>
    </w:p>
    <w:p w:rsidR="00BB7D0F" w:rsidRPr="0052720A" w:rsidRDefault="00BB7D0F" w:rsidP="00BB7D0F">
      <w:pPr>
        <w:pStyle w:val="a5"/>
        <w:widowControl w:val="0"/>
        <w:numPr>
          <w:ilvl w:val="0"/>
          <w:numId w:val="23"/>
        </w:numPr>
        <w:spacing w:before="40" w:after="40" w:line="240" w:lineRule="auto"/>
        <w:ind w:left="366" w:hanging="366"/>
        <w:contextualSpacing/>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Επιδεικτικές επισκέψεις, όπου οι συμμετέχοντες θα μπορούν να γνωρίσουν στην πράξη μεθόδους και καλές πρακτικές σχετικές με τις παραγωγικές διαδικασίες, τις νέες τεχνολογίες και της καινοτομίας στην παραγωγή και εμπορία προϊόντων και στην παραγωγή προϊόντων με το ελάχιστο δυνατό περιβαλλοντικό αποτύπωμα. </w:t>
      </w:r>
      <w:r w:rsidRPr="0052720A">
        <w:rPr>
          <w:rFonts w:ascii="Tahoma" w:hAnsi="Tahoma" w:cs="Tahoma"/>
          <w:color w:val="000000" w:themeColor="text1"/>
          <w:szCs w:val="20"/>
          <w:lang w:val="el-GR"/>
        </w:rPr>
        <w:t>Περιλαμβάνει επισκέψεις σε εκμεταλλεύσεις, ερευνητικά ιδρύματα και εταιρείες - καλές πρακτικές</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Τα προγράμματα θα αφορούν προϊόντα αγροδιατροφικού τομέα, φαρμακευτικά - καλλυντικά προϊόντα, τοπικά προϊόντα και διασύνδεση τους με τον  τουρισμό - πολιτισμό (επίδειξη σε χρήστες, ξενοδόχους κλπ.), δικτύωση και συνεργασίες στον αγροδιατροφικό τομέα.</w:t>
      </w:r>
    </w:p>
    <w:p w:rsidR="00BB7D0F" w:rsidRPr="000C4EC5" w:rsidRDefault="00BB7D0F"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Στην υλοποίηση των ενεργειών θα προωθηθεί ο συνδυασμός της θεωρίας με την πράξη, η σύνδεση του αντικειμένου μάθησης με τις ανάγκες και τα ενδιαφέροντα των καταρτιζόμενων, η ανάπτυξη κριτικού τρόπου σκέψης, καθώς επίσης και οι αμφίδρομες σχέσεις εκπαιδευτών - καταρτιζόμενων. Η περιβαλλοντική διάσταση αποτελεί κύριο άξονα σχεδιασμού της υποδράσης, μιας και η ανάπτυξη των ανθρωπίνων πόρων, έχει επίκεντρο την προστασία του φυσικού περιβάλλοντος και τη μετάβαση σε μια οικονομία φιλική στο περιβάλλον.</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BB7D0F" w:rsidRPr="000C4EC5">
        <w:rPr>
          <w:rFonts w:ascii="Tahoma" w:hAnsi="Tahoma" w:cs="Tahoma"/>
          <w:color w:val="000000" w:themeColor="text1"/>
          <w:szCs w:val="20"/>
          <w:lang w:val="el-GR"/>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100% βάσει του Καν. (ΕΕ) 1407/2013 (de minimis) για το δασικό τομέα και 100% βάσει του Καν. (ΕΕ) 1305/2013 για το γεωργικό τομέα.</w:t>
      </w:r>
    </w:p>
    <w:p w:rsidR="004D3018" w:rsidRPr="000C4EC5" w:rsidRDefault="004D3018"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B7D0F" w:rsidRPr="000C4EC5">
        <w:rPr>
          <w:rFonts w:ascii="Tahoma" w:hAnsi="Tahoma" w:cs="Tahoma"/>
          <w:b/>
          <w:color w:val="000000" w:themeColor="text1"/>
          <w:szCs w:val="20"/>
          <w:lang w:val="el-GR"/>
        </w:rPr>
        <w:t>4</w:t>
      </w:r>
      <w:r w:rsidRPr="000C4EC5">
        <w:rPr>
          <w:rFonts w:ascii="Tahoma" w:hAnsi="Tahoma" w:cs="Tahoma"/>
          <w:b/>
          <w:color w:val="000000" w:themeColor="text1"/>
          <w:szCs w:val="20"/>
          <w:lang w:val="el-GR"/>
        </w:rPr>
        <w:t>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94207" w:rsidRPr="000C4EC5" w:rsidRDefault="0093528C"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rsidR="00AA724F" w:rsidRPr="000C4EC5" w:rsidRDefault="00AA724F" w:rsidP="00AA724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 xml:space="preserve">Η υποδράση περιλαμβάνει επενδύσεις μεταποίησης, εμπορίας και/ή ανάπτυξης που έχοντας ως πρώτη ύλη γεωργικά προϊόντα του παραρτήματος Ι της συνθήκης για την Λειτουργία της Ευρωπαϊκής Ένωσης (ΣΛΕΕ), παράγουν ΜΗ γεωργικό προϊόν. Ενδεικτικά οι επενδύσεις αφορούν στην ίδρυση, την επέκταση και τον εκσυγχρονισμό μεταποιητικών μονάδων επεξεργασίας προϊόντων κυψέλης (γύρη, πρόπολη, βασιλικός πολτός), αιθέριων ελαίων, αποσταγμάτων από οπωροκηπευτικά ή αμπελοοινικής προέλευσης, προϊόντων κοσμετολογίας και φαρμακευτικής από γεωργικά προϊόντα (π.χ. αλόη, λάδι, προϊόντα κυψέλης), μονάδες παραγωγής εμπορίας και συσκευασίας προϊόντων θρέψης φυτών, μονάδες παραγωγής πυτιάς και συμπυκνωμάτων αυτής, μονάδες αξιοποίησης παραπροϊόντων και υπολειμμάτων των βιομηχανιών ειδών διατροφής, μονάδες επεξεργασίας βάμβακος και λοιπών κλωστικών ινών (όπως κλωστική κάνναβης, λινάρι). </w:t>
      </w:r>
    </w:p>
    <w:p w:rsidR="00AA724F" w:rsidRPr="000C4EC5" w:rsidRDefault="00AA724F" w:rsidP="00AA724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Σημειώνεται ότι μέσω σχετικού κριτηρίου επιλογής, έμφαση θα δοθεί στην καινοτομία. Αυτή μπορεί να είναι τεχνολογική (εισαγωγή στην αγορά ενός νέου ή σημαντικά βελτιωμένου προϊόντος, ή εισαγωγή στην επιχείρηση μιας νέας ή σημαντικά βελτιωμένης διαδικασίας παραγωγής, διανομής ή υποστήριξης ενός αγαθού) ή μη τεχνολογική (αφορά τη δομή ή διοίκηση μιας επιχείρησης, πχ. νέα μέθοδο πώλησης). </w:t>
      </w:r>
    </w:p>
    <w:p w:rsidR="00894207" w:rsidRPr="000C4EC5" w:rsidRDefault="00894207"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AA724F" w:rsidRPr="000C4EC5">
        <w:rPr>
          <w:rFonts w:ascii="Tahoma" w:hAnsi="Tahoma" w:cs="Tahoma"/>
          <w:color w:val="000000" w:themeColor="text1"/>
          <w:szCs w:val="20"/>
          <w:lang w:val="el-GR"/>
        </w:rPr>
        <w:t>Φυσικά / Νομικά πρόσωπα Ιδιωτικού Δικαίου - Πολύ μικρές, μικρές επιχειρήσεις κατά την έννοια της σύστασης 2003/361/ΕΚ της Επιτροπής.</w:t>
      </w:r>
    </w:p>
    <w:p w:rsidR="00894207" w:rsidRPr="000C4EC5" w:rsidRDefault="00894207"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 xml:space="preserve">50% για το σύνολο της περιοχής παρέμβασης εκτός της Θάσου και 75% για την περιοχή της Θάσου </w:t>
      </w:r>
      <w:r w:rsidR="005D5509" w:rsidRPr="000C4EC5">
        <w:rPr>
          <w:rFonts w:ascii="Tahoma" w:hAnsi="Tahoma" w:cs="Tahoma"/>
          <w:color w:val="000000" w:themeColor="text1"/>
          <w:szCs w:val="20"/>
          <w:lang w:val="el-GR"/>
        </w:rPr>
        <w:t>[Καν. (ΕΕ) 1407/13 de minimis].</w:t>
      </w:r>
    </w:p>
    <w:p w:rsidR="004D3018" w:rsidRPr="000C4EC5" w:rsidRDefault="004D3018"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AA724F" w:rsidRPr="000C4EC5">
        <w:rPr>
          <w:rFonts w:ascii="Tahoma" w:hAnsi="Tahoma" w:cs="Tahoma"/>
          <w:b/>
          <w:color w:val="000000" w:themeColor="text1"/>
          <w:szCs w:val="20"/>
          <w:lang w:val="el-GR"/>
        </w:rPr>
        <w:t>350</w:t>
      </w:r>
      <w:r w:rsidR="005D5509" w:rsidRPr="000C4EC5">
        <w:rPr>
          <w:rFonts w:ascii="Tahoma" w:hAnsi="Tahoma" w:cs="Tahoma"/>
          <w:b/>
          <w:color w:val="000000" w:themeColor="text1"/>
          <w:szCs w:val="20"/>
          <w:lang w:val="el-GR"/>
        </w:rPr>
        <w:t>.000,00</w:t>
      </w:r>
      <w:r w:rsidRPr="000C4EC5">
        <w:rPr>
          <w:rFonts w:ascii="Tahoma" w:hAnsi="Tahoma" w:cs="Tahoma"/>
          <w:b/>
          <w:color w:val="000000" w:themeColor="text1"/>
          <w:szCs w:val="20"/>
          <w:lang w:val="el-GR"/>
        </w:rPr>
        <w:t xml:space="preserve"> €.</w:t>
      </w:r>
    </w:p>
    <w:p w:rsidR="00AA724F" w:rsidRPr="000C4EC5" w:rsidRDefault="00AA724F"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19.2.2.3 Ενίσχυση επενδύσεων στον τομέα του τουρισμού με σκοπό την εξυπηρέτηση ειδικών στόχων της τοπικής στρατηγικής</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Με την παρούσα υπο-δράση ενισχύεται η ίδρυση, ο εκσυγχρονισμός και η επέκταση επιχειρήσεων που δραστηριοποιούνται στους τομείς της διανυκτέρευσης, της εστίασης και των εναλλακτικών μορφών τουρισμού.</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Στις  επιχειρήσεις εναλλακτικών μορφών τουρισμού μεταξύ των άλλων περιλαμβάνονται επιχειρήσεις:</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αθλητικού τουρισμού αναψυχής (π.χ. θαλάσσιο αλεξίπτωτο, αετοσανίδα, θαλάσσιο έλκηθρο, κλπ),</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επιχειρήσεις σε ορεινές περιοχές (π.χ. αναρρίχηση, ποδήλατο βουνού,  ιππασία, μίνι-γκολφ, κλπ),</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rPr>
      </w:pPr>
      <w:r w:rsidRPr="000C4EC5">
        <w:rPr>
          <w:rFonts w:ascii="Tahoma" w:hAnsi="Tahoma" w:cs="Tahoma"/>
          <w:color w:val="000000" w:themeColor="text1"/>
          <w:szCs w:val="20"/>
          <w:lang w:val="el-GR"/>
        </w:rPr>
        <w:t xml:space="preserve">επιχειρήσεις θαλάσσιου τουρισμού (π.χ.  </w:t>
      </w:r>
      <w:r w:rsidRPr="000C4EC5">
        <w:rPr>
          <w:rFonts w:ascii="Tahoma" w:hAnsi="Tahoma" w:cs="Tahoma"/>
          <w:color w:val="000000" w:themeColor="text1"/>
          <w:szCs w:val="20"/>
        </w:rPr>
        <w:t xml:space="preserve">yachting- motor boat-sailing boat, κλπ), </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επιχειρήσεις τουρισμού της υπαίθρου (π.χ. τουρισμός παρατήρησης χλωρίδας και πανίδας, περιπατητικός τουρισμός, κλπ), </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επιχειρήσεις γαστρονομικού τουρισμού που συνδέονται με την τοπική κουζίνα και την ανάδειξη της ιδιαίτερης γαστρονομικής ταυτότητας της περιοχής, και</w:t>
      </w:r>
    </w:p>
    <w:p w:rsidR="008859A0" w:rsidRPr="000C4EC5" w:rsidRDefault="008859A0" w:rsidP="008859A0">
      <w:pPr>
        <w:pStyle w:val="a5"/>
        <w:widowControl w:val="0"/>
        <w:numPr>
          <w:ilvl w:val="0"/>
          <w:numId w:val="33"/>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color w:val="000000" w:themeColor="text1"/>
          <w:szCs w:val="20"/>
          <w:lang w:val="el-GR"/>
        </w:rPr>
        <w:t>επιχειρήσεις τουρισμού υγείας και ευεξίας για επισκέπτες που επιθυμούν να συνδυάσουν τις διακοπές τους με υπηρεσίες πρόληψης, διατήρησης ή βελτίωσης της υγείας τους.</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8859A0" w:rsidRPr="000C4EC5" w:rsidRDefault="008859A0" w:rsidP="008859A0">
      <w:pPr>
        <w:widowControl w:val="0"/>
        <w:spacing w:before="40" w:after="40" w:line="240" w:lineRule="auto"/>
        <w:rPr>
          <w:rFonts w:ascii="Tahoma" w:hAnsi="Tahoma" w:cs="Tahoma"/>
          <w:color w:val="000000" w:themeColor="text1"/>
          <w:szCs w:val="20"/>
        </w:rPr>
      </w:pPr>
      <w:r w:rsidRPr="000C4EC5">
        <w:rPr>
          <w:rFonts w:ascii="Tahoma" w:hAnsi="Tahoma" w:cs="Tahoma"/>
          <w:color w:val="000000" w:themeColor="text1"/>
          <w:szCs w:val="20"/>
        </w:rPr>
        <w:t xml:space="preserve">Η υποδράση αφορά αποκλειστικά: </w:t>
      </w:r>
    </w:p>
    <w:p w:rsidR="008859A0" w:rsidRPr="000C4EC5" w:rsidRDefault="008859A0" w:rsidP="008859A0">
      <w:pPr>
        <w:numPr>
          <w:ilvl w:val="0"/>
          <w:numId w:val="32"/>
        </w:numPr>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Εκσυγχρονισμούς ή/και επεκτάσεις ή/και μετεγκαταστάσεις μονάδων μετά εκσυγχρονισμού υφιστάμενων μονάδων.</w:t>
      </w:r>
    </w:p>
    <w:p w:rsidR="008859A0" w:rsidRPr="000C4EC5" w:rsidRDefault="008859A0" w:rsidP="008859A0">
      <w:pPr>
        <w:numPr>
          <w:ilvl w:val="0"/>
          <w:numId w:val="32"/>
        </w:numPr>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rsidR="00AA69F0" w:rsidRPr="000C4EC5" w:rsidRDefault="008859A0" w:rsidP="008859A0">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color w:val="000000" w:themeColor="text1"/>
          <w:szCs w:val="20"/>
          <w:lang w:val="el-GR"/>
        </w:rPr>
        <w:t>Ειδικά, οι επενδύσεις που αφορούν σε υποδομές διανυκτέρευσης θα πρέπει να είναι σύμφωνες με την Κ.Υ.Α. υπ’ αριθ.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AA69F0" w:rsidRPr="000C4EC5">
        <w:rPr>
          <w:rFonts w:ascii="Tahoma" w:hAnsi="Tahoma" w:cs="Tahoma"/>
          <w:b/>
          <w:color w:val="000000" w:themeColor="text1"/>
          <w:szCs w:val="20"/>
          <w:lang w:val="el-GR"/>
        </w:rPr>
        <w:t xml:space="preserve"> </w:t>
      </w:r>
    </w:p>
    <w:p w:rsidR="00AA69F0" w:rsidRPr="000C4EC5" w:rsidRDefault="00AA69F0"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8859A0" w:rsidRPr="000C4EC5" w:rsidRDefault="008859A0" w:rsidP="008859A0">
      <w:pPr>
        <w:numPr>
          <w:ilvl w:val="0"/>
          <w:numId w:val="34"/>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8859A0" w:rsidRPr="000C4EC5" w:rsidRDefault="008859A0" w:rsidP="008859A0">
      <w:pPr>
        <w:numPr>
          <w:ilvl w:val="0"/>
          <w:numId w:val="34"/>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lastRenderedPageBreak/>
        <w:t xml:space="preserve">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Pr="000C4EC5">
        <w:rPr>
          <w:rFonts w:ascii="Tahoma" w:hAnsi="Tahoma" w:cs="Tahoma"/>
          <w:color w:val="000000" w:themeColor="text1"/>
          <w:szCs w:val="20"/>
          <w:lang w:val="el-GR"/>
        </w:rPr>
        <w:t xml:space="preserve">65% </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8859A0"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1407/13 de minimis</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8859A0" w:rsidRPr="000C4EC5">
        <w:rPr>
          <w:rFonts w:ascii="Tahoma" w:hAnsi="Tahoma" w:cs="Tahoma"/>
          <w:b/>
          <w:color w:val="000000" w:themeColor="text1"/>
          <w:szCs w:val="20"/>
          <w:lang w:val="el-GR"/>
        </w:rPr>
        <w:t>4</w:t>
      </w:r>
      <w:r w:rsidRPr="000C4EC5">
        <w:rPr>
          <w:rFonts w:ascii="Tahoma" w:hAnsi="Tahoma" w:cs="Tahoma"/>
          <w:b/>
          <w:color w:val="000000" w:themeColor="text1"/>
          <w:szCs w:val="20"/>
          <w:lang w:val="el-GR"/>
        </w:rPr>
        <w:t>00.000,00 €.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rsidR="008859A0" w:rsidRPr="000C4EC5" w:rsidRDefault="008859A0" w:rsidP="008859A0">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Στα πλαίσια της υποδράσης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w:t>
      </w:r>
      <w:r w:rsidRPr="000C4EC5">
        <w:rPr>
          <w:rFonts w:ascii="Tahoma" w:hAnsi="Tahoma" w:cs="Tahoma"/>
          <w:color w:val="000000" w:themeColor="text1"/>
          <w:szCs w:val="20"/>
          <w:vertAlign w:val="superscript"/>
          <w:lang w:val="el-GR"/>
        </w:rPr>
        <w:t>η</w:t>
      </w:r>
      <w:r w:rsidRPr="000C4EC5">
        <w:rPr>
          <w:rFonts w:ascii="Tahoma" w:hAnsi="Tahoma" w:cs="Tahoma"/>
          <w:color w:val="000000" w:themeColor="text1"/>
          <w:szCs w:val="20"/>
          <w:lang w:val="el-GR"/>
        </w:rPr>
        <w:t xml:space="preserve"> μεταποίηση και του εμπορίου (ενδεικτικά αναφέρονται: κατασκευή προϊόντων ένδυσης,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w:t>
      </w:r>
    </w:p>
    <w:p w:rsidR="008859A0" w:rsidRPr="000C4EC5" w:rsidRDefault="008859A0" w:rsidP="008859A0">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8859A0" w:rsidRPr="000C4EC5" w:rsidRDefault="008859A0" w:rsidP="008859A0">
      <w:pPr>
        <w:autoSpaceDE w:val="0"/>
        <w:autoSpaceDN w:val="0"/>
        <w:adjustRightInd w:val="0"/>
        <w:spacing w:before="40" w:after="40" w:line="240" w:lineRule="auto"/>
        <w:rPr>
          <w:rFonts w:ascii="Tahoma" w:hAnsi="Tahoma" w:cs="Tahoma"/>
          <w:b/>
          <w:color w:val="000000" w:themeColor="text1"/>
          <w:szCs w:val="20"/>
        </w:rPr>
      </w:pPr>
      <w:r w:rsidRPr="000C4EC5">
        <w:rPr>
          <w:rFonts w:ascii="Tahoma" w:hAnsi="Tahoma" w:cs="Tahoma"/>
          <w:b/>
          <w:color w:val="000000" w:themeColor="text1"/>
          <w:szCs w:val="20"/>
        </w:rPr>
        <w:t xml:space="preserve">Η υποδράση αφορά αποκλειστικά: </w:t>
      </w:r>
    </w:p>
    <w:p w:rsidR="008859A0" w:rsidRPr="000C4EC5" w:rsidRDefault="008859A0" w:rsidP="008859A0">
      <w:pPr>
        <w:numPr>
          <w:ilvl w:val="0"/>
          <w:numId w:val="36"/>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Εκσυγχρονισμούς ή/και επεκτάσεις ή/και μετεγκαταστάσεις μονάδων μετά εκσυγχρονισμού </w:t>
      </w:r>
      <w:r w:rsidRPr="000C4EC5">
        <w:rPr>
          <w:rFonts w:ascii="Tahoma" w:hAnsi="Tahoma" w:cs="Tahoma"/>
          <w:b/>
          <w:color w:val="000000" w:themeColor="text1"/>
          <w:szCs w:val="20"/>
          <w:u w:val="single"/>
          <w:lang w:val="el-GR"/>
        </w:rPr>
        <w:t>υφιστάμενων</w:t>
      </w:r>
      <w:r w:rsidRPr="000C4EC5">
        <w:rPr>
          <w:rFonts w:ascii="Tahoma" w:hAnsi="Tahoma" w:cs="Tahoma"/>
          <w:b/>
          <w:color w:val="000000" w:themeColor="text1"/>
          <w:szCs w:val="20"/>
          <w:lang w:val="el-GR"/>
        </w:rPr>
        <w:t xml:space="preserve"> μονάδων.</w:t>
      </w:r>
    </w:p>
    <w:p w:rsidR="008859A0" w:rsidRPr="000C4EC5" w:rsidRDefault="008859A0" w:rsidP="008859A0">
      <w:pPr>
        <w:numPr>
          <w:ilvl w:val="0"/>
          <w:numId w:val="36"/>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0C4EC5">
        <w:rPr>
          <w:rFonts w:ascii="Tahoma" w:hAnsi="Tahoma" w:cs="Tahoma"/>
          <w:b/>
          <w:color w:val="000000" w:themeColor="text1"/>
          <w:szCs w:val="20"/>
          <w:u w:val="single"/>
          <w:lang w:val="el-GR"/>
        </w:rPr>
        <w:t>έως 35 ετών</w:t>
      </w:r>
      <w:r w:rsidRPr="000C4EC5">
        <w:rPr>
          <w:rFonts w:ascii="Tahoma" w:hAnsi="Tahoma" w:cs="Tahoma"/>
          <w:b/>
          <w:color w:val="000000" w:themeColor="text1"/>
          <w:szCs w:val="20"/>
          <w:lang w:val="el-GR"/>
        </w:rPr>
        <w:t xml:space="preserve"> ή από Νομικά Πρόσωπα Ιδιωτικού Δικαίου, στο κεφάλαιο των οποίων συμμετέχουν νέοι (έως 35 ετών) με </w:t>
      </w:r>
      <w:r w:rsidRPr="000C4EC5">
        <w:rPr>
          <w:rFonts w:ascii="Tahoma" w:hAnsi="Tahoma" w:cs="Tahoma"/>
          <w:b/>
          <w:color w:val="000000" w:themeColor="text1"/>
          <w:szCs w:val="20"/>
          <w:u w:val="single"/>
          <w:lang w:val="el-GR"/>
        </w:rPr>
        <w:t>ποσοστό τουλάχιστον 75%</w:t>
      </w:r>
      <w:r w:rsidRPr="000C4EC5">
        <w:rPr>
          <w:rFonts w:ascii="Tahoma" w:hAnsi="Tahoma" w:cs="Tahoma"/>
          <w:b/>
          <w:color w:val="000000" w:themeColor="text1"/>
          <w:szCs w:val="20"/>
          <w:lang w:val="el-GR"/>
        </w:rPr>
        <w:t xml:space="preserve">  και η διαχείριση ασκείται αποκλειστικά από νέους.</w:t>
      </w:r>
    </w:p>
    <w:p w:rsidR="008859A0" w:rsidRPr="000C4EC5" w:rsidRDefault="008859A0" w:rsidP="008859A0">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Κύριο άξονα σχεδιασμού της υποδράσης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w:t>
      </w:r>
    </w:p>
    <w:p w:rsidR="008859A0" w:rsidRPr="000C4EC5" w:rsidRDefault="008859A0" w:rsidP="008859A0">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8859A0" w:rsidRPr="000C4EC5" w:rsidRDefault="008859A0" w:rsidP="00EF13DB">
      <w:pPr>
        <w:numPr>
          <w:ilvl w:val="0"/>
          <w:numId w:val="38"/>
        </w:numPr>
        <w:spacing w:before="40" w:after="40" w:line="240" w:lineRule="auto"/>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8859A0" w:rsidRPr="000C4EC5" w:rsidRDefault="008859A0" w:rsidP="00EF13DB">
      <w:pPr>
        <w:numPr>
          <w:ilvl w:val="0"/>
          <w:numId w:val="38"/>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Pr="000C4EC5">
        <w:rPr>
          <w:rFonts w:ascii="Tahoma" w:hAnsi="Tahoma" w:cs="Tahoma"/>
          <w:color w:val="000000" w:themeColor="text1"/>
          <w:szCs w:val="20"/>
          <w:lang w:val="el-GR"/>
        </w:rPr>
        <w:t xml:space="preserve">65% </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8859A0"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1407/13</w:t>
      </w:r>
      <w:r w:rsidR="008859A0" w:rsidRPr="000C4EC5">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de minimis</w:t>
      </w:r>
      <w:r w:rsidR="008859A0"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w:t>
      </w:r>
      <w:r w:rsidR="008859A0" w:rsidRPr="000C4EC5">
        <w:rPr>
          <w:rFonts w:ascii="Tahoma" w:hAnsi="Tahoma" w:cs="Tahoma"/>
          <w:b/>
          <w:color w:val="000000" w:themeColor="text1"/>
          <w:szCs w:val="20"/>
          <w:lang w:val="el-GR"/>
        </w:rPr>
        <w:t>70</w:t>
      </w:r>
      <w:r w:rsidRPr="000C4EC5">
        <w:rPr>
          <w:rFonts w:ascii="Tahoma" w:hAnsi="Tahoma" w:cs="Tahoma"/>
          <w:b/>
          <w:color w:val="000000" w:themeColor="text1"/>
          <w:szCs w:val="20"/>
          <w:lang w:val="el-GR"/>
        </w:rPr>
        <w:t>.000,00 €.</w:t>
      </w:r>
    </w:p>
    <w:p w:rsidR="008859A0" w:rsidRPr="000C4EC5" w:rsidRDefault="008859A0"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rsidR="00EF13DB" w:rsidRPr="000C4EC5" w:rsidRDefault="00EF13DB" w:rsidP="00EF13DB">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Στα πλαίσια της υποδράσης ενισχύονται επενδύσεις που αφορούν επιχειρήσεις παροχής υπηρεσιών που εξυπηρετούν την τοπική οικονομία και τις καθημερινές ανάγκες των κατοίκων των αγροτικών περιοχών (υπηρεσίες στήριξης του πρωτογενή τομέα, χώροι δημιουργικής απασχόλησης, βρεφονηπιακοί και παιδικοί σταθμοί, χώροι φροντίδας ηλικιωμένων, χώροι αθλητισμού, επιχειρήσεις στον τομέα του περιβάλλοντος, ωδεία για την εκμάθηση  παραδοσιακών και σύγχρονων οργάνων,  Πολιτιστικά Κέντρα. Πρόκειται για χώρους άσκησης πολιτιστικών δραστηριοτήτων, όπως οργάνωση θεατρικών παραστάσεων, διοργάνωση εκδηλώσεων (συναυλίες, πολιτιστικές εκδηλώσεις), χώρους αθλητισμού (γηπεδικές και κτιριακές εγκαταστάσεις για τη διενέργεια αθλημάτων κλπ.).</w:t>
      </w:r>
    </w:p>
    <w:p w:rsidR="0021585F" w:rsidRPr="000C4EC5" w:rsidRDefault="0021585F" w:rsidP="0021585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EF13DB" w:rsidRPr="000C4EC5" w:rsidRDefault="00EF13DB" w:rsidP="00EF13DB">
      <w:pPr>
        <w:autoSpaceDE w:val="0"/>
        <w:autoSpaceDN w:val="0"/>
        <w:adjustRightInd w:val="0"/>
        <w:spacing w:before="40" w:after="40" w:line="240" w:lineRule="auto"/>
        <w:rPr>
          <w:rFonts w:ascii="Tahoma" w:hAnsi="Tahoma" w:cs="Tahoma"/>
          <w:b/>
          <w:color w:val="000000" w:themeColor="text1"/>
          <w:szCs w:val="20"/>
        </w:rPr>
      </w:pPr>
      <w:r w:rsidRPr="000C4EC5">
        <w:rPr>
          <w:rFonts w:ascii="Tahoma" w:hAnsi="Tahoma" w:cs="Tahoma"/>
          <w:b/>
          <w:color w:val="000000" w:themeColor="text1"/>
          <w:szCs w:val="20"/>
        </w:rPr>
        <w:t xml:space="preserve">Η υποδράση αφορά αποκλειστικά: </w:t>
      </w:r>
    </w:p>
    <w:p w:rsidR="00EF13DB" w:rsidRPr="000C4EC5" w:rsidRDefault="00EF13DB" w:rsidP="00EF13DB">
      <w:pPr>
        <w:numPr>
          <w:ilvl w:val="0"/>
          <w:numId w:val="37"/>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Εκσυγχρονισμούς ή/και επεκτάσεις ή/και μετεγκαταστάσεις μονάδων μετά εκσυγχρονισμού </w:t>
      </w:r>
      <w:r w:rsidRPr="000C4EC5">
        <w:rPr>
          <w:rFonts w:ascii="Tahoma" w:hAnsi="Tahoma" w:cs="Tahoma"/>
          <w:b/>
          <w:color w:val="000000" w:themeColor="text1"/>
          <w:szCs w:val="20"/>
          <w:u w:val="single"/>
          <w:lang w:val="el-GR"/>
        </w:rPr>
        <w:t>υφιστάμενων</w:t>
      </w:r>
      <w:r w:rsidRPr="000C4EC5">
        <w:rPr>
          <w:rFonts w:ascii="Tahoma" w:hAnsi="Tahoma" w:cs="Tahoma"/>
          <w:b/>
          <w:color w:val="000000" w:themeColor="text1"/>
          <w:szCs w:val="20"/>
          <w:lang w:val="el-GR"/>
        </w:rPr>
        <w:t xml:space="preserve"> μονάδων.</w:t>
      </w:r>
    </w:p>
    <w:p w:rsidR="00EF13DB" w:rsidRPr="000C4EC5" w:rsidRDefault="00EF13DB" w:rsidP="00EF13DB">
      <w:pPr>
        <w:numPr>
          <w:ilvl w:val="0"/>
          <w:numId w:val="37"/>
        </w:numPr>
        <w:autoSpaceDE w:val="0"/>
        <w:autoSpaceDN w:val="0"/>
        <w:adjustRightInd w:val="0"/>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0C4EC5">
        <w:rPr>
          <w:rFonts w:ascii="Tahoma" w:hAnsi="Tahoma" w:cs="Tahoma"/>
          <w:b/>
          <w:color w:val="000000" w:themeColor="text1"/>
          <w:szCs w:val="20"/>
          <w:u w:val="single"/>
          <w:lang w:val="el-GR"/>
        </w:rPr>
        <w:t>έως 35 ετών</w:t>
      </w:r>
      <w:r w:rsidRPr="000C4EC5">
        <w:rPr>
          <w:rFonts w:ascii="Tahoma" w:hAnsi="Tahoma" w:cs="Tahoma"/>
          <w:b/>
          <w:color w:val="000000" w:themeColor="text1"/>
          <w:szCs w:val="20"/>
          <w:lang w:val="el-GR"/>
        </w:rPr>
        <w:t xml:space="preserve"> ή από </w:t>
      </w:r>
      <w:r w:rsidRPr="000C4EC5">
        <w:rPr>
          <w:rFonts w:ascii="Tahoma" w:hAnsi="Tahoma" w:cs="Tahoma"/>
          <w:b/>
          <w:color w:val="000000" w:themeColor="text1"/>
          <w:szCs w:val="20"/>
          <w:lang w:val="el-GR"/>
        </w:rPr>
        <w:lastRenderedPageBreak/>
        <w:t xml:space="preserve">Νομικά Πρόσωπα Ιδιωτικού Δικαίου, στο κεφάλαιο των οποίων συμμετέχουν νέοι (έως 35 ετών) με </w:t>
      </w:r>
      <w:r w:rsidRPr="000C4EC5">
        <w:rPr>
          <w:rFonts w:ascii="Tahoma" w:hAnsi="Tahoma" w:cs="Tahoma"/>
          <w:b/>
          <w:color w:val="000000" w:themeColor="text1"/>
          <w:szCs w:val="20"/>
          <w:u w:val="single"/>
          <w:lang w:val="el-GR"/>
        </w:rPr>
        <w:t>ποσοστό τουλάχιστον 75%</w:t>
      </w:r>
      <w:r w:rsidRPr="000C4EC5">
        <w:rPr>
          <w:rFonts w:ascii="Tahoma" w:hAnsi="Tahoma" w:cs="Tahoma"/>
          <w:b/>
          <w:color w:val="000000" w:themeColor="text1"/>
          <w:szCs w:val="20"/>
          <w:lang w:val="el-GR"/>
        </w:rPr>
        <w:t xml:space="preserve">  και η διαχείριση ασκείται αποκλειστικά από νέους.</w:t>
      </w:r>
    </w:p>
    <w:p w:rsidR="00AA69F0" w:rsidRPr="000C4EC5" w:rsidRDefault="00EF13DB" w:rsidP="00EF13DB">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Κύριο άξονα σχεδιασμού της υποδράσης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Επίσης η δράση αποβλέπει ανάλογα στην ενίσχυση της γυναικείας επιχειρηματικότητας.</w:t>
      </w:r>
      <w:r w:rsidR="00AA69F0" w:rsidRPr="000C4EC5">
        <w:rPr>
          <w:rFonts w:ascii="Tahoma" w:hAnsi="Tahoma" w:cs="Tahoma"/>
          <w:b/>
          <w:color w:val="000000" w:themeColor="text1"/>
          <w:szCs w:val="20"/>
          <w:lang w:val="el-GR"/>
        </w:rPr>
        <w:t xml:space="preserve"> </w:t>
      </w:r>
    </w:p>
    <w:p w:rsidR="00EF13DB" w:rsidRPr="000C4EC5" w:rsidRDefault="00EF13DB" w:rsidP="00EF13DB">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EF13DB" w:rsidRPr="000C4EC5" w:rsidRDefault="00EF13DB" w:rsidP="00EF13DB">
      <w:pPr>
        <w:numPr>
          <w:ilvl w:val="0"/>
          <w:numId w:val="39"/>
        </w:numPr>
        <w:spacing w:before="40" w:after="40" w:line="240" w:lineRule="auto"/>
        <w:jc w:val="left"/>
        <w:rPr>
          <w:rFonts w:ascii="Tahoma" w:hAnsi="Tahoma" w:cs="Tahoma"/>
          <w:color w:val="000000" w:themeColor="text1"/>
          <w:szCs w:val="20"/>
          <w:lang w:val="el-GR"/>
        </w:rPr>
      </w:pPr>
      <w:r w:rsidRPr="000C4EC5">
        <w:rPr>
          <w:rFonts w:ascii="Tahoma" w:hAnsi="Tahoma" w:cs="Tahoma"/>
          <w:b/>
          <w:color w:val="000000" w:themeColor="text1"/>
          <w:szCs w:val="20"/>
          <w:lang w:val="el-GR"/>
        </w:rPr>
        <w:t>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και Νομικά Πρόσωπα Ιδιωτικού Δικαίου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EF13DB" w:rsidRPr="000C4EC5" w:rsidRDefault="00EF13DB" w:rsidP="00EF13DB">
      <w:pPr>
        <w:numPr>
          <w:ilvl w:val="0"/>
          <w:numId w:val="39"/>
        </w:numPr>
        <w:spacing w:before="40" w:after="40" w:line="240" w:lineRule="auto"/>
        <w:ind w:left="357" w:hanging="357"/>
        <w:jc w:val="left"/>
        <w:rPr>
          <w:rFonts w:ascii="Tahoma" w:hAnsi="Tahoma" w:cs="Tahoma"/>
          <w:color w:val="000000" w:themeColor="text1"/>
          <w:szCs w:val="20"/>
          <w:lang w:val="el-GR"/>
        </w:rPr>
      </w:pPr>
      <w:r w:rsidRPr="000C4EC5">
        <w:rPr>
          <w:rFonts w:ascii="Tahoma" w:hAnsi="Tahoma" w:cs="Tahoma"/>
          <w:b/>
          <w:color w:val="000000" w:themeColor="text1"/>
          <w:szCs w:val="20"/>
          <w:u w:val="single"/>
          <w:lang w:val="el-GR"/>
        </w:rPr>
        <w:t>Ιδρύσεις</w:t>
      </w:r>
      <w:r w:rsidRPr="000C4EC5">
        <w:rPr>
          <w:rFonts w:ascii="Tahoma" w:hAnsi="Tahoma" w:cs="Tahoma"/>
          <w:b/>
          <w:color w:val="000000" w:themeColor="text1"/>
          <w:szCs w:val="20"/>
          <w:lang w:val="el-GR"/>
        </w:rPr>
        <w:t>, εκσυγχρονισμοί ή/και επεκτάσεις ή/και μετεγκαταστάσεις μονάδων μετά εκσυγχρονισμού</w:t>
      </w:r>
      <w:r w:rsidRPr="000C4EC5">
        <w:rPr>
          <w:rFonts w:ascii="Tahoma" w:hAnsi="Tahoma" w:cs="Tahoma"/>
          <w:color w:val="000000" w:themeColor="text1"/>
          <w:szCs w:val="20"/>
          <w:lang w:val="el-GR"/>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CF41FF">
        <w:rPr>
          <w:rFonts w:ascii="Tahoma" w:hAnsi="Tahoma" w:cs="Tahoma"/>
          <w:color w:val="000000" w:themeColor="text1"/>
          <w:szCs w:val="20"/>
          <w:lang w:val="el-GR"/>
        </w:rPr>
        <w:t>συνιστούν</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u w:val="single"/>
          <w:lang w:val="el-GR"/>
        </w:rPr>
        <w:t>υφιστάμενες</w:t>
      </w:r>
      <w:r w:rsidRPr="000C4EC5">
        <w:rPr>
          <w:rFonts w:ascii="Tahoma" w:hAnsi="Tahoma" w:cs="Tahoma"/>
          <w:color w:val="000000" w:themeColor="text1"/>
          <w:szCs w:val="20"/>
          <w:lang w:val="el-GR"/>
        </w:rPr>
        <w:t xml:space="preserve"> ή ιδρύουν </w:t>
      </w:r>
      <w:r w:rsidRPr="000C4EC5">
        <w:rPr>
          <w:rFonts w:ascii="Tahoma" w:hAnsi="Tahoma" w:cs="Tahoma"/>
          <w:color w:val="000000" w:themeColor="text1"/>
          <w:szCs w:val="20"/>
          <w:u w:val="single"/>
          <w:lang w:val="el-GR"/>
        </w:rPr>
        <w:t>νέες</w:t>
      </w:r>
      <w:r w:rsidRPr="000C4EC5">
        <w:rPr>
          <w:rFonts w:ascii="Tahoma" w:hAnsi="Tahoma" w:cs="Tahoma"/>
          <w:color w:val="000000" w:themeColor="text1"/>
          <w:szCs w:val="20"/>
          <w:lang w:val="el-GR"/>
        </w:rPr>
        <w:t xml:space="preserve"> επιχειρήσεις, οι οποίες κατηγοριοποιούνται ως πολύ μικρές ή μικρές επιχειρήσεις κατά την έννοια της σύστασης 2003/361/ΕΚ της Επιτροπής.  </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1B02BE" w:rsidRPr="000C4EC5">
        <w:rPr>
          <w:rFonts w:ascii="Tahoma" w:hAnsi="Tahoma" w:cs="Tahoma"/>
          <w:color w:val="000000" w:themeColor="text1"/>
          <w:szCs w:val="20"/>
          <w:lang w:val="el-GR"/>
        </w:rPr>
        <w:t>65% [Καν. (ΕΕ) 1407/13 de minimis]</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FA7640" w:rsidRPr="000C4EC5">
        <w:rPr>
          <w:rFonts w:ascii="Tahoma" w:hAnsi="Tahoma" w:cs="Tahoma"/>
          <w:b/>
          <w:color w:val="000000" w:themeColor="text1"/>
          <w:szCs w:val="20"/>
          <w:lang w:val="el-GR"/>
        </w:rPr>
        <w:t>150</w:t>
      </w:r>
      <w:r w:rsidRPr="000C4EC5">
        <w:rPr>
          <w:rFonts w:ascii="Tahoma" w:hAnsi="Tahoma" w:cs="Tahoma"/>
          <w:b/>
          <w:color w:val="000000" w:themeColor="text1"/>
          <w:szCs w:val="20"/>
          <w:lang w:val="el-GR"/>
        </w:rPr>
        <w:t>.</w:t>
      </w:r>
      <w:r w:rsidR="00997CB5">
        <w:rPr>
          <w:rFonts w:ascii="Tahoma" w:hAnsi="Tahoma" w:cs="Tahoma"/>
          <w:b/>
          <w:color w:val="000000" w:themeColor="text1"/>
          <w:szCs w:val="20"/>
          <w:lang w:val="el-GR"/>
        </w:rPr>
        <w:t>0</w:t>
      </w:r>
      <w:r w:rsidRPr="000C4EC5">
        <w:rPr>
          <w:rFonts w:ascii="Tahoma" w:hAnsi="Tahoma" w:cs="Tahoma"/>
          <w:b/>
          <w:color w:val="000000" w:themeColor="text1"/>
          <w:szCs w:val="20"/>
          <w:lang w:val="el-GR"/>
        </w:rPr>
        <w:t>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AA69F0" w:rsidRPr="000C4EC5" w:rsidRDefault="00AA69F0"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19.2.2.6 Ενίσχυση επενδύσεων οικοτεχνίας και πολυλειτουργικών αγροκτημάτων με σκοπό την εξυπηρέτηση ειδικών στόχων της τοπικής στρατηγικής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παρούσας υποδράσης ενισχύονται οι επενδύσεις στον τομέα της οικοτεχνίας, σύμφωνα με το άρθρο 56§2 του Νόμου 4235 / 2014 (όπως ισχύει κάθε φορά) με βασικά στοιχεία τα εξής: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α) Αφορούν μεταποίηση, μικρής κλίμακας, γεωργικών προϊόντων αποκλειστικά ιδίας παραγωγής από τον παραγωγό και την οικογένειά του, στο χώρο της αγροτικής κατοικίας ή της αγροτικής εκμετάλλευσης. Τα μεταποιημένα προϊόντα που παράγονται προορίζονται για άμεση διάθεση, από τον οικοτέχνη στους χώρους του ή σε περιοδικές τοπικές διοργανώσεις (όπως εμποροπανηγύρεις και δημοτικές εκδηλώσεις) ή σε τοπικές λαϊκές αγορές ή σε αγορές παραγωγών (</w:t>
      </w:r>
      <w:r w:rsidRPr="000C4EC5">
        <w:rPr>
          <w:rFonts w:ascii="Tahoma" w:hAnsi="Tahoma" w:cs="Tahoma"/>
          <w:color w:val="000000" w:themeColor="text1"/>
          <w:szCs w:val="20"/>
        </w:rPr>
        <w:t>farmers</w:t>
      </w:r>
      <w:r w:rsidRPr="000C4EC5">
        <w:rPr>
          <w:rFonts w:ascii="Tahoma" w:hAnsi="Tahoma" w:cs="Tahoma"/>
          <w:color w:val="000000" w:themeColor="text1"/>
          <w:szCs w:val="20"/>
          <w:lang w:val="el-GR"/>
        </w:rPr>
        <w:t xml:space="preserve">’ </w:t>
      </w:r>
      <w:r w:rsidRPr="000C4EC5">
        <w:rPr>
          <w:rFonts w:ascii="Tahoma" w:hAnsi="Tahoma" w:cs="Tahoma"/>
          <w:color w:val="000000" w:themeColor="text1"/>
          <w:szCs w:val="20"/>
        </w:rPr>
        <w:t>markets</w:t>
      </w:r>
      <w:r w:rsidRPr="000C4EC5">
        <w:rPr>
          <w:rFonts w:ascii="Tahoma" w:hAnsi="Tahoma" w:cs="Tahoma"/>
          <w:color w:val="000000" w:themeColor="text1"/>
          <w:szCs w:val="20"/>
          <w:lang w:val="el-GR"/>
        </w:rPr>
        <w:t xml:space="preserve">) ή σε επιχειρήσεις λιανικού εμπορίου και μαζικής εστίασης της τοπικής αγοράς.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Αφορούν υποψήφιους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στο Μητρώο Αγροτών και Αγροτικών Εκμεταλλεύσεων καθώς και τα μέλη της οικογένειάς τους.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 Αφορούν υποψηφίους δικαιούχους που είναι εγγεγραμμένοι ή εγγράφονται στο σχετικό Κεντρικό Ηλεκτρονικό Μητρώο Οικοτεχνίας, με καταγραφή των παραγωγών και των προϊόντων τους.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Τα είδη των προϊόντων οικοτεχνικής παρασκευής είναι:</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Α. Προϊόντα δημητριακών π.χ. πλιγούρι, μπομπότα</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Β. Αρτοσκευάσματα πχ παξιμάδια φρυγανιές, αρτίδια, σταφιδόψωμα, κριτσίνια, βουτήματα, λουκουμάδες με μέλι, κουλούρια, λαγάνες, διπυρίτης άρτος (γαλέτα) φύλλο κρούστας, σφολιάτα, πίτες (αλμυρές και γλυκές).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 Ζυμαρικά π.χ. τραχανάς, χυλοπίτες, λαζάνια, ξυνόχονδρος.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Δ. Γλυκίσματα π.χ. χαλβάς με σιμιγδάλι, σάμαλι, ραβανί.</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 Προϊόντα φυτικής προέλευσης με ή χωρίς γλυκαντικές ύλες, π.χ. γλυκά κουταλιού, μαρμελάδες, κομπόστες, ζελέ φρούτων, γλυκά αλείμματα και γλυκές πάστες φρούτων και λαχανικών, φρουι γλασέ, πετιμέζι, μουσταλευριά, αμυγδαλωτά, εργολάβους, χαρουπόμελο ,προϊόντα από σουσάμι.</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 Προϊόντα με </w:t>
      </w:r>
      <w:r w:rsidRPr="000C4EC5">
        <w:rPr>
          <w:rFonts w:ascii="Tahoma" w:hAnsi="Tahoma" w:cs="Tahoma"/>
          <w:color w:val="000000" w:themeColor="text1"/>
          <w:szCs w:val="20"/>
        </w:rPr>
        <w:t>extra</w:t>
      </w:r>
      <w:r w:rsidRPr="000C4EC5">
        <w:rPr>
          <w:rFonts w:ascii="Tahoma" w:hAnsi="Tahoma" w:cs="Tahoma"/>
          <w:color w:val="000000" w:themeColor="text1"/>
          <w:szCs w:val="20"/>
          <w:lang w:val="el-GR"/>
        </w:rPr>
        <w:t xml:space="preserve"> παρθένα και παρθένα ελαιόλαδα που έχουν προστεθεί αρωματικά φυτά, μπαχαρικά, αιθέρια έλαια, κ.α. σε συσκευασία έως δύο (2) λίτρων.</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Ζ. Προϊόντα φυτικής προέλευσης διατηρημένα με αλάτι, ξύδι και λάδι, επιτραπέζιες ελιές, πάστες ελιάς, τουρσιά, σάλτσες.</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Αποξηραμένα προϊόντα φυτικής προέλευσης φρούτα και λαχανικά, ξηροί καρποί, όσπρια, αρωματικά φυτά.</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Θ. Προϊόντα με μέλι που έχουν προστεθεί ξηροί καρποί, αποξηραμένα φρούτα, μαστίχα, κρόκος κ.α. τρόφιμα.</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Ι. Γαλακτοκομικά προϊόντα, π.χ. τυρί, βούτυρο, γιαούρτι εφόσον πληρούνται οι προϋποθέσεις που ορίζονται στη με αριθμ.3724 / 162303 / 22.12.14 ΚΥΑ (ΦΕΚ 3438 / Β / 2014).</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ΙΑ. Λοιπά τρόφιμα, π.χ. ξύδι, χυμοί φρούτων και λαχανικών σε συσκευασία έως ενός (1) λίτρου.</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ΙΒ Προϊόντα σαπωνοποιίας από ελαιόλαδο</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 xml:space="preserve">Στο πλαίσιο της παρούσας υποδράσης ενισχύονται επίσης τα Πολυλειτουργικά Αγροκτήματα, τα οποία, σύμφωνα με το άρθρο 52 του Νόμου 4235 / 2014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 καλλιεργήσιμη έκταση,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φυτικό ή ζωικό κεφάλαιο και </w:t>
      </w:r>
    </w:p>
    <w:p w:rsidR="00EE2AB5" w:rsidRPr="000C4EC5" w:rsidRDefault="00EE2AB5" w:rsidP="00EE2AB5">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γ) χώρο εστίασης ή δυνατότητα εκπαίδευσης ή δυνατότητα επίδειξης και παρακολούθησης της παραγωγικής διαδικασίας ή οικοτεχνικής μεταποίησης. </w:t>
      </w:r>
    </w:p>
    <w:p w:rsidR="00EE2AB5" w:rsidRDefault="00EE2AB5" w:rsidP="00EE2AB5">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Δύναται να δημιουργούν συνεργατικές δράσεις με τις γειτνιάζουσες παραγωγικές μονάδες γεωργίας, κτηνοτροφίας, με επιχειρήσεις μεταποίησης και τυποποίησης, καθώς και με τα κατά τόπους μουσεία, μνημεία και αρχαιολογικούς χώρους που προάγουν και αναδεικνύουν την πολιτιστική κληρονομιά της περιοχής. Προβλέπεται σχετική πιστοποίηση (κατοχύρωση σήματος).</w:t>
      </w:r>
    </w:p>
    <w:p w:rsidR="00C72A87" w:rsidRPr="000C4EC5" w:rsidRDefault="00C72A87" w:rsidP="00C72A87">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83005B" w:rsidRPr="000C4EC5" w:rsidRDefault="00AA69F0"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p>
    <w:p w:rsidR="00EE2AB5" w:rsidRPr="000C4EC5" w:rsidRDefault="00EE2AB5" w:rsidP="00EE2AB5">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Σε ότι αφορά τις δράσεις οικοτεχνίας, δικαιούχοι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w:t>
      </w:r>
    </w:p>
    <w:p w:rsidR="0027090D" w:rsidRPr="000C4EC5" w:rsidRDefault="00EE2AB5" w:rsidP="00EE2AB5">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Δικαιούχοι ενίσχυσης για τη δημιουργία και λειτουργία Πολυλειτουργικών Αγροκτημάτων είναι α) επαγγελματίες αγρότες, εγγεγραμμένοι στο Μητρώο Αγροτών και Αγροτικών Εκμεταλλεύσεων β) συμπράξεις φυσικών ή/και νομικών προσώπων εγγεγραμμένων στο Μητρώο Αγροτών και Αγροτικών Εκμεταλλεύσεων που πληρούν τις απαιτήσεις της παρούσας απόφασης και γ) συμπράξεις φυσικών ή/και νομικών προσώπων εγγεγραμμένων στο Μητρώο Αγροτών και Αγροτικών Εκμεταλλεύσεων που πληρούν τις απαιτήσεις της παρούσας απόφασης με άλλα φυσικά ή/και νομικά πρόσωπα, με την προϋπόθεση ότι ο/οι εγγεγραμμένος/ οι στο ΜΑΑΕ μετέχει/-ουν με ποσοστό τουλάχιστον 50% στη σύμπραξη. Λεπτομέρειες για τους δικαιούχους και τη λειτουργία και πιστοποίηση των Πολυλειτουργικών Αγροκτημάτων περιλαμβάνονται στην Κ.Υ.Α. αριθ. 543/34450/ 2017 «Πολυλειτουργικά Αγροκτήματα». </w:t>
      </w:r>
    </w:p>
    <w:p w:rsidR="00AA69F0" w:rsidRPr="000C4EC5" w:rsidRDefault="00EE2AB5" w:rsidP="00EE2AB5">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Και στις δυο ανωτέρω περιπτώσεις, οι επιχειρήσεις θα πρέπει να είναι πολύ μικρές ή μικρές επιχειρήσεις κατά την έννοια της σύστασης 2003/361/ΕΚ της Επιτροπής.</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 xml:space="preserve">50% στην περίπτωση χρήσης του Άρθρου 17 του Καν. (ΕΕ) 1305/2013 [Καν. (ΕΕ) 1407/13 de minimis]. 65% στην περίπτωση χρήσης του Άρθρου 19 του του Καν. (ΕΕ) 1305/2013 </w:t>
      </w:r>
      <w:r w:rsidR="00EE2AB5"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Καν. </w:t>
      </w:r>
      <w:r w:rsidR="00EE2AB5"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1407/13 de minimis</w:t>
      </w:r>
      <w:r w:rsidR="00EE2AB5"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AA69F0" w:rsidRPr="000C4EC5" w:rsidRDefault="00AA69F0"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w:t>
      </w:r>
      <w:r w:rsidR="0083005B"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3005B" w:rsidRPr="000C4EC5" w:rsidRDefault="0083005B"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Η υποδράση περιλαμβάνει επενδύσεις μεταποίησης, εμπορίας και /ή ανάπτυξης γεωργικών προϊόντων, με αποτέλεσμα γεωργικό προϊόν που καλύπτονται από το Παράρτημα 1 της Συνθήκης για την Λειτουργία της Ευρωπαϊκής Ένωσης (ΣΛΕΕ). Σκοπός της υποδράσης είναι η αύξηση της προστιθέμενης αξίας των γεωργικών προϊόντων, καθιστώντας τα πιο ελκυστικά στον καταναλωτή. Επιδιώκεται μεταξύ των άλλων η ενσωμάτωση διαδικασιών καινοτομίας και χρήσης νέων τεχνολογιών αλλά και διαδικασιών φιλικών προς το περιβάλλον, ενώ παράλληλα είναι καθοριστική και η διατήρηση και δημιουργία νέων θέσεων εργασίας και η προστασία της ανθρώπινης υγείας.  Η υποδράση γενικότερα συμβάλλει στην κοινωνική συνοχή και στην οικονομική ανάπτυξη σε τοπικό επίπεδο. Με την παρούσα υποδράση ενισχύεται η ίδρυση, ο εκσυγχρονισμός και η επέκταση μονάδων παραγωγής, αποθήκευσης και εμπορίας γεωργικών προϊόντων με αποτέλεσμα γεωργικό προϊόν,  με έμφαση στην τήρηση των προδιαγραφών υγιεινής, της εργασιακής ασφάλειας, αλλά και στην αξιοποίηση της πρωτογενούς παραγωγής των βιολογικών προϊόντων και των προϊόντων ποιότητας. </w:t>
      </w:r>
    </w:p>
    <w:p w:rsidR="0027090D" w:rsidRPr="000C4EC5" w:rsidRDefault="0027090D" w:rsidP="0027090D">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υποδράσης είναι επιλέξιμες προς στήριξη δραστηριότητες ίδρυσης και εκσυγχρονισμού, με ή χωρίς μετεγκατάσταση, μονάδας όπως και δραστηριότητες συγχώνευσης μονάδων υπό τις εξής προϋποθέσεις / εξαιρέσεις: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 Η αίτηση στήριξης αφορά παραγωγή προϊόντων εντός του Παραρτήματος Ι της Συνθήκης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β) Δεν είναι επιλέξιμη η ίδρυση ελαιοτριβείων.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 xml:space="preserve">γ) Η ίδρυση σφαγείων πουλερικών είναι επιλέξιμη μόνο σε ορεινές περιοχές.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 Ως εκσυγχρονισμός μονάδας νοείται η αντικατάσταση ή / και η συμπλήρωση μηχανολογικού εξοπλισμού όπως η επέκταση δυναμικότητας (εφόσον καλύπτεται από τις απαραίτητες κάθε φορά αδειοδοτήσεις) ενεργών και ανενεργών μονάδων. </w:t>
      </w:r>
      <w:r w:rsidRPr="000C4EC5">
        <w:rPr>
          <w:rFonts w:ascii="Tahoma" w:hAnsi="Tahoma" w:cs="Tahoma"/>
          <w:b/>
          <w:color w:val="000000" w:themeColor="text1"/>
          <w:szCs w:val="20"/>
          <w:lang w:val="el-GR"/>
        </w:rPr>
        <w:t>Κατ’ εξαίρεση όσον αφορά στην περίπτωση μονάδων ελαιοτριβείων που 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r w:rsidRPr="000C4EC5">
        <w:rPr>
          <w:rFonts w:ascii="Tahoma" w:hAnsi="Tahoma" w:cs="Tahoma"/>
          <w:color w:val="000000" w:themeColor="text1"/>
          <w:szCs w:val="20"/>
          <w:lang w:val="el-GR"/>
        </w:rPr>
        <w:t xml:space="preserve">. </w:t>
      </w:r>
    </w:p>
    <w:p w:rsidR="0027090D" w:rsidRPr="000C4EC5" w:rsidRDefault="0027090D" w:rsidP="0027090D">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 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 26-11-2008 (ΦΕΚ 2422 Β’) ΚΥΑ.</w:t>
      </w:r>
    </w:p>
    <w:p w:rsidR="0083005B" w:rsidRPr="000C4EC5" w:rsidRDefault="0027090D" w:rsidP="0027090D">
      <w:pPr>
        <w:tabs>
          <w:tab w:val="left" w:pos="6833"/>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ζ) Οι μετεγκαταστάσεις και οι συγχωνεύσεις μονάδων συνοδεύονται απαραίτητα και από εκσυγχρονισμό αυτών.</w:t>
      </w:r>
      <w:r w:rsidR="0083005B" w:rsidRPr="000C4EC5">
        <w:rPr>
          <w:rFonts w:ascii="Tahoma" w:hAnsi="Tahoma" w:cs="Tahoma"/>
          <w:color w:val="000000" w:themeColor="text1"/>
          <w:szCs w:val="20"/>
          <w:lang w:val="el-GR"/>
        </w:rPr>
        <w:t xml:space="preserve"> </w:t>
      </w:r>
    </w:p>
    <w:p w:rsidR="0083005B" w:rsidRPr="000C4EC5" w:rsidRDefault="0083005B" w:rsidP="0027090D">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27090D" w:rsidRPr="000C4EC5">
        <w:rPr>
          <w:rFonts w:ascii="Tahoma" w:hAnsi="Tahoma" w:cs="Tahoma"/>
          <w:color w:val="000000" w:themeColor="text1"/>
          <w:szCs w:val="20"/>
          <w:lang w:val="el-GR"/>
        </w:rPr>
        <w:t xml:space="preserve">Φυσικά / Νομικά πρόσωπα Ιδιωτικού Δικαίου </w:t>
      </w:r>
      <w:r w:rsidR="007C45E9">
        <w:rPr>
          <w:rFonts w:ascii="Tahoma" w:hAnsi="Tahoma" w:cs="Tahoma"/>
          <w:color w:val="000000" w:themeColor="text1"/>
          <w:szCs w:val="20"/>
          <w:lang w:val="el-GR"/>
        </w:rPr>
        <w:t>που συνιστούν Π</w:t>
      </w:r>
      <w:r w:rsidR="007C45E9" w:rsidRPr="000C4EC5">
        <w:rPr>
          <w:rFonts w:ascii="Tahoma" w:hAnsi="Tahoma" w:cs="Tahoma"/>
          <w:color w:val="000000" w:themeColor="text1"/>
          <w:szCs w:val="20"/>
          <w:lang w:val="el-GR"/>
        </w:rPr>
        <w:t xml:space="preserve">ολύ Μικρές, Μικρές, Μεσαίες Επιχειρήσεις </w:t>
      </w:r>
      <w:r w:rsidR="0027090D" w:rsidRPr="000C4EC5">
        <w:rPr>
          <w:rFonts w:ascii="Tahoma" w:hAnsi="Tahoma" w:cs="Tahoma"/>
          <w:color w:val="000000" w:themeColor="text1"/>
          <w:szCs w:val="20"/>
          <w:lang w:val="el-GR"/>
        </w:rPr>
        <w:t>κατά την έννοια της σύστασης 2003/361/ΕΚ της Επιτροπής.</w:t>
      </w:r>
    </w:p>
    <w:p w:rsidR="0083005B" w:rsidRPr="000C4EC5" w:rsidRDefault="0083005B" w:rsidP="0027090D">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r w:rsidR="00255F49" w:rsidRPr="000C4EC5">
        <w:rPr>
          <w:rFonts w:ascii="Tahoma" w:hAnsi="Tahoma" w:cs="Tahoma"/>
          <w:color w:val="000000" w:themeColor="text1"/>
          <w:szCs w:val="20"/>
          <w:lang w:val="el-GR"/>
        </w:rPr>
        <w:t>50% για το σύνολο της περιοχής παρέμβασης εκτός της Θάσου και 75% για την περιοχή της Θάσου</w:t>
      </w:r>
      <w:r w:rsidR="001379EC" w:rsidRPr="000C4EC5">
        <w:rPr>
          <w:rFonts w:ascii="Tahoma" w:hAnsi="Tahoma" w:cs="Tahoma"/>
          <w:color w:val="000000" w:themeColor="text1"/>
          <w:szCs w:val="20"/>
          <w:lang w:val="el-GR"/>
        </w:rPr>
        <w:t xml:space="preserve"> </w:t>
      </w:r>
      <w:r w:rsidR="00255F49"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Παράρτημα ΙΙ Καν. </w:t>
      </w:r>
      <w:r w:rsidR="00255F49"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1305/13</w:t>
      </w:r>
      <w:r w:rsidR="00255F49" w:rsidRPr="000C4EC5">
        <w:rPr>
          <w:rFonts w:ascii="Tahoma" w:hAnsi="Tahoma" w:cs="Tahoma"/>
          <w:color w:val="000000" w:themeColor="text1"/>
          <w:szCs w:val="20"/>
          <w:lang w:val="el-GR"/>
        </w:rPr>
        <w:t>]</w:t>
      </w:r>
      <w:r w:rsidR="001379EC" w:rsidRPr="000C4EC5">
        <w:rPr>
          <w:rFonts w:ascii="Tahoma" w:hAnsi="Tahoma" w:cs="Tahoma"/>
          <w:color w:val="000000" w:themeColor="text1"/>
          <w:szCs w:val="20"/>
          <w:lang w:val="el-GR"/>
        </w:rPr>
        <w:t>.</w:t>
      </w:r>
    </w:p>
    <w:p w:rsidR="0083005B" w:rsidRPr="000C4EC5" w:rsidRDefault="0083005B" w:rsidP="0027090D">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w:t>
      </w:r>
      <w:r w:rsidR="00EE2AB5" w:rsidRPr="000C4EC5">
        <w:rPr>
          <w:rFonts w:ascii="Tahoma" w:hAnsi="Tahoma" w:cs="Tahoma"/>
          <w:b/>
          <w:color w:val="000000" w:themeColor="text1"/>
          <w:szCs w:val="20"/>
          <w:lang w:val="el-GR"/>
        </w:rPr>
        <w:t xml:space="preserve"> </w:t>
      </w:r>
      <w:r w:rsidR="00FA7640" w:rsidRPr="000C4EC5">
        <w:rPr>
          <w:rFonts w:ascii="Tahoma" w:hAnsi="Tahoma" w:cs="Tahoma"/>
          <w:b/>
          <w:color w:val="000000" w:themeColor="text1"/>
          <w:szCs w:val="20"/>
          <w:lang w:val="el-GR"/>
        </w:rPr>
        <w:t>710</w:t>
      </w:r>
      <w:r w:rsidR="0027090D" w:rsidRPr="000C4EC5">
        <w:rPr>
          <w:rFonts w:ascii="Tahoma" w:hAnsi="Tahoma" w:cs="Tahoma"/>
          <w:b/>
          <w:color w:val="000000" w:themeColor="text1"/>
          <w:szCs w:val="20"/>
          <w:lang w:val="el-GR"/>
        </w:rPr>
        <w:t>.</w:t>
      </w:r>
      <w:r w:rsidR="00FA7640" w:rsidRPr="000C4EC5">
        <w:rPr>
          <w:rFonts w:ascii="Tahoma" w:hAnsi="Tahoma" w:cs="Tahoma"/>
          <w:b/>
          <w:color w:val="000000" w:themeColor="text1"/>
          <w:szCs w:val="20"/>
          <w:lang w:val="el-GR"/>
        </w:rPr>
        <w:t>5</w:t>
      </w:r>
      <w:r w:rsidR="0027090D"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7A47B6" w:rsidRPr="000C4EC5" w:rsidRDefault="007A47B6"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19.2.3.3 Οριζόντια εφαρμογή ενίσχυσης επενδύσεων στον τομέα του τουρισμού με σκοπό την εξυπηρέτηση των</w:t>
      </w:r>
      <w:r w:rsidR="00B153B2" w:rsidRPr="000C4EC5">
        <w:rPr>
          <w:rFonts w:ascii="Tahoma" w:hAnsi="Tahoma" w:cs="Tahoma"/>
          <w:b/>
          <w:color w:val="000000" w:themeColor="text1"/>
          <w:szCs w:val="20"/>
          <w:lang w:val="el-GR"/>
        </w:rPr>
        <w:t xml:space="preserve"> στόχων της τοπικής στρατηγικής</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Ενισχύονται επενδύσεις που αφορούν στην ίδρυση, επέκταση και εκσυγχρονισμό υποδομών διανυκτέρευσης, χώρων εστίασης και αναψυχής, επιχειρήσεων παροχής υπηρεσιών για την εξυπηρέτηση του τουρισμού (εναλλακτικές μορφές τουρισμού, ειδικές μορφές τουρισμού). Στα πλαίσια της υποδράσης δύναται να ενισχυθούν επιχειρήσεις που σχετίζονται με τη δημιουργία νέων ή προϊόντων και υπηρεσιών όπως οι διδακτικές κτηνοτροφικές/γεωργικές φάρμες και οι επιχειρήσεις εξειδικευμένων μορφών τουρισμού.</w:t>
      </w:r>
    </w:p>
    <w:p w:rsidR="001379EC" w:rsidRPr="000C4EC5" w:rsidRDefault="001379EC" w:rsidP="001379EC">
      <w:pPr>
        <w:spacing w:before="40" w:after="40" w:line="240" w:lineRule="auto"/>
        <w:rPr>
          <w:rFonts w:ascii="Tahoma" w:hAnsi="Tahoma" w:cs="Tahoma"/>
          <w:color w:val="000000" w:themeColor="text1"/>
          <w:szCs w:val="20"/>
        </w:rPr>
      </w:pPr>
      <w:r w:rsidRPr="000C4EC5">
        <w:rPr>
          <w:rFonts w:ascii="Tahoma" w:hAnsi="Tahoma" w:cs="Tahoma"/>
          <w:color w:val="000000" w:themeColor="text1"/>
          <w:szCs w:val="20"/>
          <w:lang w:val="el-GR"/>
        </w:rPr>
        <w:t xml:space="preserve">Στο πλαίσιο της υποδράσης ενισχύονται επενδύσεις στον τουριστικό τομέα που σκοπό έχουν τη βελτίωση των παρεχόμενων υπηρεσιών στον τουρίστα και την ενίσχυση της θετικής του εμπειρίας. </w:t>
      </w:r>
      <w:r w:rsidRPr="000C4EC5">
        <w:rPr>
          <w:rFonts w:ascii="Tahoma" w:hAnsi="Tahoma" w:cs="Tahoma"/>
          <w:color w:val="000000" w:themeColor="text1"/>
          <w:szCs w:val="20"/>
        </w:rPr>
        <w:t>Ενδεικτικά, αναφέρεται η στήριξη:</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Καταλυμάτων, οι λειτουργικές μορφές και οι κατηγορίες των οποίων προσδιορίζονται στην ΚΥΑ 2986 / 2016 (ΦΕΚ Β3885 / 2016) όπως αυτή τροποποιείται και ισχύει κάθε φορά.</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rPr>
      </w:pPr>
      <w:r w:rsidRPr="000C4EC5">
        <w:rPr>
          <w:rFonts w:ascii="Tahoma" w:hAnsi="Tahoma" w:cs="Tahoma"/>
          <w:color w:val="000000" w:themeColor="text1"/>
          <w:szCs w:val="20"/>
        </w:rPr>
        <w:t>Χώρων εστίασης, παραδοσιακών καφενείων.</w:t>
      </w:r>
    </w:p>
    <w:p w:rsidR="001379EC" w:rsidRPr="000C4EC5" w:rsidRDefault="001379EC" w:rsidP="001379EC">
      <w:pPr>
        <w:pStyle w:val="a5"/>
        <w:widowControl w:val="0"/>
        <w:numPr>
          <w:ilvl w:val="0"/>
          <w:numId w:val="17"/>
        </w:numPr>
        <w:spacing w:before="40" w:after="40" w:line="240" w:lineRule="auto"/>
        <w:rPr>
          <w:rFonts w:ascii="Tahoma" w:hAnsi="Tahoma" w:cs="Tahoma"/>
          <w:color w:val="000000" w:themeColor="text1"/>
          <w:szCs w:val="20"/>
        </w:rPr>
      </w:pPr>
      <w:r w:rsidRPr="000C4EC5">
        <w:rPr>
          <w:rFonts w:ascii="Tahoma" w:hAnsi="Tahoma" w:cs="Tahoma"/>
          <w:color w:val="000000" w:themeColor="text1"/>
          <w:szCs w:val="20"/>
        </w:rPr>
        <w:t>Μονάδων επιχειρήσεων εναλλακτικού τουρισμού.</w:t>
      </w:r>
    </w:p>
    <w:p w:rsidR="001379EC" w:rsidRPr="000C4EC5" w:rsidRDefault="001379EC" w:rsidP="001379E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μονάδες  διανυκτέρευσης είναι επιθυμητό να υλοποιούνται με παραδοσιακά υλικά και με σεβασμό στις αρχές της παραδοσιακής αρχιτεκτονικής. Επίσης η διαμόρφωση των εξωτερικών χώρων να εναρμονίζεται με την ευρύτερη περιοχή, η εσωτερική διακόσμηση να περιλαμβάνει στοιχεία από την τοπική παράδοση, η διαμονή είτε να συνδυάζεται με τη δυνατότητα συμμετοχής σε δραστηριότητες εναλλακτικού τουρισμού (πορείες στο βουνό, ξενάγηση στον οικισμό, ενασχόληση με αγροτικές εργασίες, οργάνωση βραδιών γευσιγνωσίας), είτε να απευθύνεται σε εξειδικευμένες αγορές-στόχους</w:t>
      </w:r>
      <w:r w:rsidR="007C45E9">
        <w:rPr>
          <w:rFonts w:ascii="Tahoma" w:hAnsi="Tahoma" w:cs="Tahoma"/>
          <w:color w:val="000000" w:themeColor="text1"/>
          <w:szCs w:val="20"/>
          <w:lang w:val="el-GR"/>
        </w:rPr>
        <w:t xml:space="preserve"> </w:t>
      </w:r>
      <w:r w:rsidRPr="000C4EC5">
        <w:rPr>
          <w:rFonts w:ascii="Tahoma" w:hAnsi="Tahoma" w:cs="Tahoma"/>
          <w:color w:val="000000" w:themeColor="text1"/>
          <w:szCs w:val="20"/>
          <w:lang w:val="el-GR"/>
        </w:rPr>
        <w:t xml:space="preserve">όπως είναι οι ενδιαφερόμενοι για την τοπική κουζίνα και γαστρονομία, καλλιτέχνες, τα ΑΜΕΑ κλπ. </w:t>
      </w:r>
    </w:p>
    <w:p w:rsidR="001379EC" w:rsidRPr="000C4EC5" w:rsidRDefault="001379EC" w:rsidP="001379E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Τέλος υποχρεωτικό είναι, τα καταλύματα με υποδομές εστίασης να προσφέρουν στα γεύματα παραδοσιακά φαγητά και να προβάλλουν στο χώρο τους στοιχεία του τοπικού πολιτισμού, φυσικά αξιοθέατα και υπηρεσίες (εστιατόρια, μέσα μεταφοράς, ταχυδρομεία, ΑΤΜ, κλπ.) της περιοχής.</w:t>
      </w:r>
    </w:p>
    <w:p w:rsidR="001379EC" w:rsidRPr="000C4EC5" w:rsidRDefault="001379EC" w:rsidP="001379EC">
      <w:pPr>
        <w:pStyle w:val="ab"/>
        <w:spacing w:before="40" w:after="40" w:line="240" w:lineRule="auto"/>
        <w:rPr>
          <w:rFonts w:ascii="Tahoma" w:hAnsi="Tahoma" w:cs="Tahoma"/>
          <w:color w:val="000000" w:themeColor="text1"/>
          <w:sz w:val="20"/>
          <w:szCs w:val="20"/>
          <w:lang w:eastAsia="el-GR"/>
        </w:rPr>
      </w:pPr>
      <w:r w:rsidRPr="000C4EC5">
        <w:rPr>
          <w:rFonts w:ascii="Tahoma" w:hAnsi="Tahoma" w:cs="Tahoma"/>
          <w:color w:val="000000" w:themeColor="text1"/>
          <w:sz w:val="20"/>
          <w:szCs w:val="20"/>
          <w:lang w:eastAsia="el-GR"/>
        </w:rPr>
        <w:t>Οι μονάδες εστίασης (ταβέρνες, εστιατόρια, μεζεδοπωλεία, ουζερί κλπ.) είναι επιθυμητό να βρίσκονται κοντά σε θέσεις θέας, σε περιπατητικές διαδρομές ή σε πολιτιστικά αξιοθέατα και να διατίθεται  σχετικό ενημερωτικό υλικό, προκειμένου να εξυπηρετούνται οι περιπατητές-επισκέπτες με στόχο να εμπλουτιστεί η τουριστική εμπειρία με τις απαραίτητες συμπληρωματικές δραστηριότητες.</w:t>
      </w:r>
    </w:p>
    <w:p w:rsidR="007A47B6" w:rsidRPr="000C4EC5" w:rsidRDefault="001379EC" w:rsidP="001379EC">
      <w:pPr>
        <w:pStyle w:val="a5"/>
        <w:widowControl w:val="0"/>
        <w:spacing w:before="40" w:after="40" w:line="240" w:lineRule="auto"/>
        <w:ind w:left="0"/>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Προτεραιότητα θα δοθεί στις επιχειρήσεις που θα εξοπλιστούν με συστήματα εξοικονόμησης ενέργειας και  ύδατος. </w:t>
      </w:r>
    </w:p>
    <w:p w:rsidR="007A47B6" w:rsidRPr="000C4EC5" w:rsidRDefault="007A47B6"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001379EC" w:rsidRPr="000C4EC5">
        <w:rPr>
          <w:rFonts w:ascii="Tahoma" w:hAnsi="Tahoma" w:cs="Tahoma"/>
          <w:szCs w:val="20"/>
          <w:lang w:val="el-GR"/>
        </w:rPr>
        <w:t xml:space="preserve"> Φυσικά / Νομικά πρόσωπα Ιδιωτικού Δικαίου </w:t>
      </w:r>
      <w:r w:rsidR="007C45E9">
        <w:rPr>
          <w:rFonts w:ascii="Tahoma" w:hAnsi="Tahoma" w:cs="Tahoma"/>
          <w:szCs w:val="20"/>
          <w:lang w:val="el-GR"/>
        </w:rPr>
        <w:t xml:space="preserve">που συνιστούν </w:t>
      </w:r>
      <w:r w:rsidR="001379EC" w:rsidRPr="000C4EC5">
        <w:rPr>
          <w:rFonts w:ascii="Tahoma" w:hAnsi="Tahoma" w:cs="Tahoma"/>
          <w:szCs w:val="20"/>
          <w:lang w:val="el-GR"/>
        </w:rPr>
        <w:t xml:space="preserve">Πολύ </w:t>
      </w:r>
      <w:r w:rsidR="007C45E9">
        <w:rPr>
          <w:rFonts w:ascii="Tahoma" w:hAnsi="Tahoma" w:cs="Tahoma"/>
          <w:szCs w:val="20"/>
          <w:lang w:val="el-GR"/>
        </w:rPr>
        <w:t>Μ</w:t>
      </w:r>
      <w:r w:rsidR="001379EC" w:rsidRPr="000C4EC5">
        <w:rPr>
          <w:rFonts w:ascii="Tahoma" w:hAnsi="Tahoma" w:cs="Tahoma"/>
          <w:szCs w:val="20"/>
          <w:lang w:val="el-GR"/>
        </w:rPr>
        <w:t xml:space="preserve">ικρές, </w:t>
      </w:r>
      <w:r w:rsidR="007C45E9">
        <w:rPr>
          <w:rFonts w:ascii="Tahoma" w:hAnsi="Tahoma" w:cs="Tahoma"/>
          <w:szCs w:val="20"/>
          <w:lang w:val="el-GR"/>
        </w:rPr>
        <w:t>Μ</w:t>
      </w:r>
      <w:r w:rsidR="001379EC" w:rsidRPr="000C4EC5">
        <w:rPr>
          <w:rFonts w:ascii="Tahoma" w:hAnsi="Tahoma" w:cs="Tahoma"/>
          <w:szCs w:val="20"/>
          <w:lang w:val="el-GR"/>
        </w:rPr>
        <w:t xml:space="preserve">ικρές </w:t>
      </w:r>
      <w:r w:rsidR="007C45E9">
        <w:rPr>
          <w:rFonts w:ascii="Tahoma" w:hAnsi="Tahoma" w:cs="Tahoma"/>
          <w:szCs w:val="20"/>
          <w:lang w:val="el-GR"/>
        </w:rPr>
        <w:t>Ε</w:t>
      </w:r>
      <w:r w:rsidR="001379EC" w:rsidRPr="000C4EC5">
        <w:rPr>
          <w:rFonts w:ascii="Tahoma" w:hAnsi="Tahoma" w:cs="Tahoma"/>
          <w:szCs w:val="20"/>
          <w:lang w:val="el-GR"/>
        </w:rPr>
        <w:t>πιχειρήσεις κατά την έννοια της σύστασης 2003 / 361 / ΕΚ της Επιτροπής</w:t>
      </w:r>
      <w:r w:rsidR="00573498" w:rsidRPr="000C4EC5">
        <w:rPr>
          <w:rFonts w:ascii="Tahoma" w:hAnsi="Tahoma" w:cs="Tahoma"/>
          <w:szCs w:val="20"/>
          <w:lang w:val="el-GR"/>
        </w:rPr>
        <w:t>.</w:t>
      </w:r>
    </w:p>
    <w:p w:rsidR="007A47B6" w:rsidRPr="000C4EC5" w:rsidRDefault="007A47B6"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p>
    <w:p w:rsidR="007A47B6" w:rsidRPr="000C4EC5" w:rsidRDefault="007A47B6" w:rsidP="00BB7D0F">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007C45E9" w:rsidRPr="000C4EC5">
        <w:rPr>
          <w:rFonts w:ascii="Tahoma" w:hAnsi="Tahoma" w:cs="Tahoma"/>
          <w:szCs w:val="20"/>
          <w:lang w:val="el-GR"/>
        </w:rPr>
        <w:t xml:space="preserve">Πολύ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Ε</w:t>
      </w:r>
      <w:r w:rsidR="007C45E9"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 xml:space="preserve">που λειτουργούν έως 5 έτη χωρίς διανομή κερδών </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Άρθρο 22 Καν. </w:t>
      </w:r>
      <w:r w:rsidR="001379EC"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651/14</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7A47B6" w:rsidRPr="000C4EC5" w:rsidRDefault="007A47B6" w:rsidP="00BB7D0F">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007C45E9" w:rsidRPr="000C4EC5">
        <w:rPr>
          <w:rFonts w:ascii="Tahoma" w:hAnsi="Tahoma" w:cs="Tahoma"/>
          <w:szCs w:val="20"/>
          <w:lang w:val="el-GR"/>
        </w:rPr>
        <w:t xml:space="preserve">Πολύ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Μ</w:t>
      </w:r>
      <w:r w:rsidR="007C45E9" w:rsidRPr="000C4EC5">
        <w:rPr>
          <w:rFonts w:ascii="Tahoma" w:hAnsi="Tahoma" w:cs="Tahoma"/>
          <w:szCs w:val="20"/>
          <w:lang w:val="el-GR"/>
        </w:rPr>
        <w:t xml:space="preserve">ικρές </w:t>
      </w:r>
      <w:r w:rsidR="007C45E9">
        <w:rPr>
          <w:rFonts w:ascii="Tahoma" w:hAnsi="Tahoma" w:cs="Tahoma"/>
          <w:szCs w:val="20"/>
          <w:lang w:val="el-GR"/>
        </w:rPr>
        <w:t>Ε</w:t>
      </w:r>
      <w:r w:rsidR="007C45E9" w:rsidRPr="000C4EC5">
        <w:rPr>
          <w:rFonts w:ascii="Tahoma" w:hAnsi="Tahoma" w:cs="Tahoma"/>
          <w:szCs w:val="20"/>
          <w:lang w:val="el-GR"/>
        </w:rPr>
        <w:t xml:space="preserve">πιχειρήσεις </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Άρθρο 14 Καν. </w:t>
      </w:r>
      <w:r w:rsidR="001379EC" w:rsidRPr="000C4EC5">
        <w:rPr>
          <w:rFonts w:ascii="Tahoma" w:hAnsi="Tahoma" w:cs="Tahoma"/>
          <w:color w:val="000000" w:themeColor="text1"/>
          <w:szCs w:val="20"/>
          <w:lang w:val="el-GR"/>
        </w:rPr>
        <w:t xml:space="preserve">(ΕΕ) </w:t>
      </w:r>
      <w:r w:rsidRPr="000C4EC5">
        <w:rPr>
          <w:rFonts w:ascii="Tahoma" w:hAnsi="Tahoma" w:cs="Tahoma"/>
          <w:color w:val="000000" w:themeColor="text1"/>
          <w:szCs w:val="20"/>
          <w:lang w:val="el-GR"/>
        </w:rPr>
        <w:t>651/14</w:t>
      </w:r>
      <w:r w:rsidR="001379EC"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w:t>
      </w:r>
    </w:p>
    <w:p w:rsidR="00573498" w:rsidRPr="000C4EC5" w:rsidRDefault="00573498" w:rsidP="005734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bookmarkStart w:id="1" w:name="OLE_LINK214"/>
      <w:bookmarkStart w:id="2" w:name="OLE_LINK215"/>
      <w:bookmarkStart w:id="3" w:name="OLE_LINK216"/>
      <w:bookmarkStart w:id="4" w:name="OLE_LINK217"/>
      <w:r w:rsidRPr="000C4EC5">
        <w:rPr>
          <w:rFonts w:ascii="Tahoma" w:hAnsi="Tahoma" w:cs="Tahoma"/>
          <w:b/>
          <w:color w:val="000000" w:themeColor="text1"/>
          <w:szCs w:val="20"/>
          <w:u w:val="single"/>
          <w:lang w:val="el-GR"/>
        </w:rPr>
        <w:lastRenderedPageBreak/>
        <w:t>Σημείωση</w:t>
      </w:r>
      <w:r w:rsidRPr="000C4EC5">
        <w:rPr>
          <w:rFonts w:ascii="Tahoma" w:hAnsi="Tahoma" w:cs="Tahoma"/>
          <w:b/>
          <w:color w:val="000000" w:themeColor="text1"/>
          <w:szCs w:val="20"/>
          <w:lang w:val="el-GR"/>
        </w:rPr>
        <w:t>: Στην συγκεκριμένη υποδράση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bookmarkEnd w:id="1"/>
    <w:bookmarkEnd w:id="2"/>
    <w:bookmarkEnd w:id="3"/>
    <w:bookmarkEnd w:id="4"/>
    <w:p w:rsidR="0083005B" w:rsidRPr="000C4EC5" w:rsidRDefault="007A47B6"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573498" w:rsidRPr="000C4EC5">
        <w:rPr>
          <w:rFonts w:ascii="Tahoma" w:hAnsi="Tahoma" w:cs="Tahoma"/>
          <w:b/>
          <w:color w:val="000000" w:themeColor="text1"/>
          <w:szCs w:val="20"/>
          <w:lang w:val="el-GR"/>
        </w:rPr>
        <w:t>8</w:t>
      </w:r>
      <w:r w:rsidRPr="000C4EC5">
        <w:rPr>
          <w:rFonts w:ascii="Tahoma" w:hAnsi="Tahoma" w:cs="Tahoma"/>
          <w:b/>
          <w:color w:val="000000" w:themeColor="text1"/>
          <w:szCs w:val="20"/>
          <w:lang w:val="el-GR"/>
        </w:rPr>
        <w:t>00.000,00 €.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rsidR="00D52E1C" w:rsidRPr="000C4EC5" w:rsidRDefault="00D52E1C" w:rsidP="00D52E1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Στα πλαίσια της υποδράσης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1η μεταποίηση και του εμπορίου (ενδεικτικά αναφέρονται: κατασκευή προϊόντων ένδυσης, λαϊκής τέχνης,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 Τέλος ενισχύονται επιχειρήσεις και καταστήματα λιανικού εμπορίου, όπως παντοπωλεία, καταστήματα ειδών λαϊκής τέχνης, κλπ.</w:t>
      </w:r>
    </w:p>
    <w:p w:rsidR="00D52E1C" w:rsidRPr="000C4EC5" w:rsidRDefault="00D52E1C" w:rsidP="00D52E1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D52E1C" w:rsidRPr="000C4EC5" w:rsidRDefault="00D52E1C" w:rsidP="00D52E1C">
      <w:pPr>
        <w:pStyle w:val="ab"/>
        <w:spacing w:before="40" w:after="40" w:line="240" w:lineRule="auto"/>
        <w:rPr>
          <w:rFonts w:ascii="Tahoma" w:hAnsi="Tahoma" w:cs="Tahoma"/>
          <w:color w:val="000000" w:themeColor="text1"/>
          <w:sz w:val="20"/>
          <w:szCs w:val="20"/>
          <w:lang w:eastAsia="el-GR"/>
        </w:rPr>
      </w:pPr>
      <w:r w:rsidRPr="000C4EC5">
        <w:rPr>
          <w:rFonts w:ascii="Tahoma" w:hAnsi="Tahoma" w:cs="Tahoma"/>
          <w:color w:val="000000" w:themeColor="text1"/>
          <w:sz w:val="20"/>
          <w:szCs w:val="20"/>
          <w:lang w:eastAsia="el-GR"/>
        </w:rPr>
        <w:t xml:space="preserve">Είναι επιθυμητό, οι κτιριακές εγκαταστάσεις και οι λοιπές οικοδομικές παρεμβάσεις να κατασκευαστούν με καλαισθησία και με σεβασμό στην τοπική αρχιτεκτονική και στο φυσικό περιβάλλον και να χρησιμοποιούν συστήματα εξοικονόμησης ενέργειας. </w:t>
      </w:r>
    </w:p>
    <w:p w:rsidR="00D52E1C" w:rsidRPr="000C4EC5" w:rsidRDefault="00D52E1C" w:rsidP="00D52E1C">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δράσεις που προβλέπονται στους ανωτέρω τομείς αφορούν σε ιδρύσεις, εκσυγχρονισμούς, επεκτάσεις, μετεγκαταστάσεις, κλπ. </w:t>
      </w:r>
    </w:p>
    <w:p w:rsidR="00B153B2" w:rsidRPr="000C4EC5" w:rsidRDefault="00B153B2"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D52E1C" w:rsidRPr="000C4EC5">
        <w:rPr>
          <w:rFonts w:ascii="Tahoma" w:hAnsi="Tahoma" w:cs="Tahoma"/>
          <w:color w:val="000000" w:themeColor="text1"/>
          <w:szCs w:val="20"/>
          <w:lang w:val="el-GR"/>
        </w:rPr>
        <w:t xml:space="preserve">Φυσικά / Νομικά πρόσωπα Ιδιωτικού Δικαίου </w:t>
      </w:r>
      <w:r w:rsidR="007C45E9">
        <w:rPr>
          <w:rFonts w:ascii="Tahoma" w:hAnsi="Tahoma" w:cs="Tahoma"/>
          <w:color w:val="000000" w:themeColor="text1"/>
          <w:szCs w:val="20"/>
          <w:lang w:val="el-GR"/>
        </w:rPr>
        <w:t>που συνιστούν</w:t>
      </w:r>
      <w:r w:rsidR="00D52E1C" w:rsidRPr="000C4EC5">
        <w:rPr>
          <w:rFonts w:ascii="Tahoma" w:hAnsi="Tahoma" w:cs="Tahoma"/>
          <w:color w:val="000000" w:themeColor="text1"/>
          <w:szCs w:val="20"/>
          <w:lang w:val="el-GR"/>
        </w:rPr>
        <w:t xml:space="preserve"> Πολύ </w:t>
      </w:r>
      <w:r w:rsidR="007C45E9" w:rsidRPr="000C4EC5">
        <w:rPr>
          <w:rFonts w:ascii="Tahoma" w:hAnsi="Tahoma" w:cs="Tahoma"/>
          <w:color w:val="000000" w:themeColor="text1"/>
          <w:szCs w:val="20"/>
          <w:lang w:val="el-GR"/>
        </w:rPr>
        <w:t>Μικρές, Μικρές Επιχειρήσεις</w:t>
      </w:r>
      <w:r w:rsidR="00D52E1C" w:rsidRPr="000C4EC5">
        <w:rPr>
          <w:rFonts w:ascii="Tahoma" w:hAnsi="Tahoma" w:cs="Tahoma"/>
          <w:color w:val="000000" w:themeColor="text1"/>
          <w:szCs w:val="20"/>
          <w:lang w:val="el-GR"/>
        </w:rPr>
        <w:t xml:space="preserve"> κατά την έννοια της σύστασης 2003 / 361 / ΕΚ της Επιτροπής.</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 xml:space="preserve">Ποσοστό επιχορήγησης: </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που λειτουργούν έως 5 έτη χωρίς διανομή κερδών [Άρθρο 22 Καν. (ΕΕ) 651/14].</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[Άρθρο 14 Καν. (ΕΕ) 651/14].</w:t>
      </w:r>
    </w:p>
    <w:p w:rsidR="00D52E1C" w:rsidRPr="000C4EC5" w:rsidRDefault="00D52E1C" w:rsidP="00D52E1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Σημείωση</w:t>
      </w:r>
      <w:r w:rsidRPr="000C4EC5">
        <w:rPr>
          <w:rFonts w:ascii="Tahoma" w:hAnsi="Tahoma" w:cs="Tahoma"/>
          <w:b/>
          <w:color w:val="000000" w:themeColor="text1"/>
          <w:szCs w:val="20"/>
          <w:lang w:val="el-GR"/>
        </w:rPr>
        <w:t>: Στην συγκεκριμένη υποδράση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rsidR="007A47B6" w:rsidRPr="000C4EC5" w:rsidRDefault="00B153B2"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573498" w:rsidRPr="000C4EC5">
        <w:rPr>
          <w:rFonts w:ascii="Tahoma" w:hAnsi="Tahoma" w:cs="Tahoma"/>
          <w:b/>
          <w:color w:val="000000" w:themeColor="text1"/>
          <w:szCs w:val="20"/>
          <w:lang w:val="el-GR"/>
        </w:rPr>
        <w:t>150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Σύμφωνα με την ανάλυση της υφιστάμενης κατάστασης η περιοχή παρέμβασης χαρακτηρίζεται από έλλειψη επαρκών υποδομών πρόνοιας (βρεφονηπιακοί σταθμοί, ΚΑΠΗ, ΚΗΦΗ κ.α.), από ανεπαρκή στελέχωση, ανεφοδιασμό και λειτουργία των υφιστάμενων δομών υγείας, εκπαίδευσης και κοινωνικής αλληλεγγύης, καθώς και από ανεπάρκεια βοηθητικών χώρων αθλητικών εγκαταστάσεων.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Στο πλαίσιο της υποδράσης ενισχύεται η ανάπτυξη υπηρεσιών για την κάλυψη σύγχρονων συνηθειών και αναγκών στις αγροτικές περιοχές. Η δράση αφορά ενδεικτικά στην ενίσχυση για την ανάπτυξη / εκσυγχρονισμό επιχειρήσεων παροχής υπηρεσιών στους τομείς της υγείας, κοινωνικής φροντίδας, της αισθητικής, της εκπαίδευσης, κλπ. </w:t>
      </w:r>
    </w:p>
    <w:p w:rsidR="00D52E1C" w:rsidRPr="000C4EC5" w:rsidRDefault="00D52E1C" w:rsidP="00D52E1C">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Οι επιλέξιμοι ΚΑΔ που αφορούν την παρούσα υποδράση παρουσιάζονται στο Παράρτημα ΙΙ_8 του αναλυτικού τεύχους της παρούσας Πρόσκλησης.</w:t>
      </w:r>
    </w:p>
    <w:p w:rsidR="00B153B2"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δράσεις που προβλέπονται στους ανωτέρω τομείς αφορούν σε ιδρύσεις, εκσυγχρονισμούς, επεκτάσεις, μετεγκαταστάσεις, κλπ. </w:t>
      </w:r>
      <w:r w:rsidR="00B153B2" w:rsidRPr="000C4EC5">
        <w:rPr>
          <w:rFonts w:ascii="Tahoma" w:hAnsi="Tahoma" w:cs="Tahoma"/>
          <w:color w:val="000000" w:themeColor="text1"/>
          <w:szCs w:val="20"/>
          <w:lang w:val="el-GR"/>
        </w:rPr>
        <w:t xml:space="preserve">   </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Φυσικά / Νομικά πρόσωπα Ιδιωτικού Δικαίου</w:t>
      </w:r>
      <w:r w:rsidR="007C45E9">
        <w:rPr>
          <w:rFonts w:ascii="Tahoma" w:hAnsi="Tahoma" w:cs="Tahoma"/>
          <w:color w:val="000000" w:themeColor="text1"/>
          <w:szCs w:val="20"/>
          <w:lang w:val="el-GR"/>
        </w:rPr>
        <w:t xml:space="preserve"> που συνιστούν</w:t>
      </w:r>
      <w:r w:rsidRPr="000C4EC5">
        <w:rPr>
          <w:rFonts w:ascii="Tahoma" w:hAnsi="Tahoma" w:cs="Tahoma"/>
          <w:color w:val="000000" w:themeColor="text1"/>
          <w:szCs w:val="20"/>
          <w:lang w:val="el-GR"/>
        </w:rPr>
        <w:t xml:space="preserve"> Πολύ </w:t>
      </w:r>
      <w:r w:rsidR="007C45E9" w:rsidRPr="000C4EC5">
        <w:rPr>
          <w:rFonts w:ascii="Tahoma" w:hAnsi="Tahoma" w:cs="Tahoma"/>
          <w:color w:val="000000" w:themeColor="text1"/>
          <w:szCs w:val="20"/>
          <w:lang w:val="el-GR"/>
        </w:rPr>
        <w:t>Μικρές, Μικρές Επιχειρήσεις</w:t>
      </w:r>
      <w:r w:rsidRPr="000C4EC5">
        <w:rPr>
          <w:rFonts w:ascii="Tahoma" w:hAnsi="Tahoma" w:cs="Tahoma"/>
          <w:color w:val="000000" w:themeColor="text1"/>
          <w:szCs w:val="20"/>
          <w:lang w:val="el-GR"/>
        </w:rPr>
        <w:t xml:space="preserve"> κατά την έννοια της σύστασης 2003 / 361 / ΕΚ της Επιτροπής.</w:t>
      </w:r>
    </w:p>
    <w:p w:rsidR="00D52E1C" w:rsidRPr="000C4EC5" w:rsidRDefault="00D52E1C" w:rsidP="00D52E1C">
      <w:pPr>
        <w:tabs>
          <w:tab w:val="num" w:pos="0"/>
          <w:tab w:val="left" w:pos="8192"/>
        </w:tabs>
        <w:spacing w:before="0" w:after="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lastRenderedPageBreak/>
        <w:t xml:space="preserve">Ποσοστό επιχορήγησης: </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65% για μη εισηγμένες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που λειτουργούν έως 5 έτη χωρίς διανομή κερδών [Άρθρο 22 Καν. (ΕΕ) 651/14].</w:t>
      </w:r>
    </w:p>
    <w:p w:rsidR="007C45E9" w:rsidRPr="000C4EC5" w:rsidRDefault="007C45E9" w:rsidP="007C45E9">
      <w:pPr>
        <w:pStyle w:val="a5"/>
        <w:numPr>
          <w:ilvl w:val="0"/>
          <w:numId w:val="18"/>
        </w:num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55% για </w:t>
      </w:r>
      <w:r w:rsidRPr="000C4EC5">
        <w:rPr>
          <w:rFonts w:ascii="Tahoma" w:hAnsi="Tahoma" w:cs="Tahoma"/>
          <w:szCs w:val="20"/>
          <w:lang w:val="el-GR"/>
        </w:rPr>
        <w:t xml:space="preserve">Πολύ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Μ</w:t>
      </w:r>
      <w:r w:rsidRPr="000C4EC5">
        <w:rPr>
          <w:rFonts w:ascii="Tahoma" w:hAnsi="Tahoma" w:cs="Tahoma"/>
          <w:szCs w:val="20"/>
          <w:lang w:val="el-GR"/>
        </w:rPr>
        <w:t xml:space="preserve">ικρές </w:t>
      </w:r>
      <w:r>
        <w:rPr>
          <w:rFonts w:ascii="Tahoma" w:hAnsi="Tahoma" w:cs="Tahoma"/>
          <w:szCs w:val="20"/>
          <w:lang w:val="el-GR"/>
        </w:rPr>
        <w:t>Ε</w:t>
      </w:r>
      <w:r w:rsidRPr="000C4EC5">
        <w:rPr>
          <w:rFonts w:ascii="Tahoma" w:hAnsi="Tahoma" w:cs="Tahoma"/>
          <w:szCs w:val="20"/>
          <w:lang w:val="el-GR"/>
        </w:rPr>
        <w:t xml:space="preserve">πιχειρήσεις </w:t>
      </w:r>
      <w:r w:rsidRPr="000C4EC5">
        <w:rPr>
          <w:rFonts w:ascii="Tahoma" w:hAnsi="Tahoma" w:cs="Tahoma"/>
          <w:color w:val="000000" w:themeColor="text1"/>
          <w:szCs w:val="20"/>
          <w:lang w:val="el-GR"/>
        </w:rPr>
        <w:t>[Άρθρο 14 Καν. (ΕΕ) 651/14].</w:t>
      </w:r>
    </w:p>
    <w:p w:rsidR="00D52E1C" w:rsidRPr="000C4EC5" w:rsidRDefault="00D52E1C" w:rsidP="00D52E1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u w:val="single"/>
          <w:lang w:val="el-GR"/>
        </w:rPr>
        <w:t>Σημείωση</w:t>
      </w:r>
      <w:r w:rsidRPr="000C4EC5">
        <w:rPr>
          <w:rFonts w:ascii="Tahoma" w:hAnsi="Tahoma" w:cs="Tahoma"/>
          <w:b/>
          <w:color w:val="000000" w:themeColor="text1"/>
          <w:szCs w:val="20"/>
          <w:lang w:val="el-GR"/>
        </w:rPr>
        <w:t>: Στην συγκεκριμένη υποδράση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rsidR="00D52E1C" w:rsidRPr="000C4EC5" w:rsidRDefault="00D52E1C" w:rsidP="00D52E1C">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Ενδεικτική συγχρηματοδοτούμενη Δημόσια Δαπάνη: 162.500,00 €.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153B2" w:rsidRPr="000C4EC5" w:rsidRDefault="00B153B2"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19.2.7.1 Πιλοτικά έργα (εκτός γεωργικού τομέα)</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υποδράση αφορά συνεργασίες για πιλοτικές εφαρμογές για την, προώθηση, ανάπτυξη και διάδοση νέων ιδεών, καινοτόμων προϊόντων και τεχνικών, με βασικό στόχο την ένταξή τους στην παραγωγική διαδικασία και περιλαμβάνει στήριξη για πιλοτικά έργα και για την ανάπτυξη νέων προϊόντων, πρακτικών, διαδικασιών και τεχνολογιών εκτός γεωργικού τομέα. Έμφαση θα δοθεί στην ενίσχυση συνεργατικών σχημάτων για την ανάπτυξη του τουρισμού με σαφή αποστολή την ανάδειξη και ερμηνεία της φυσικής και πολιτιστικής κληρονομιάς μέσω της εφαρμογής πιλοτικών μεθόδων και έργων.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Προς την κατεύθυνση αυτή, θα είναι επιλέξιμες προς χρηματοδότηση οι κάτωθι δαπάνες: </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α) οι μελέτες της συγκεκριμένης περιοχής, οι μελέτες σκοπιμότητας και η εκπόνηση επιχειρηματικού σχεδίου·</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β) η εμψύχωση της σχετικής περιοχής προκειμένου να καταστεί εφικτό το συλλογικό έργο. Η εμψύχωση μπορεί επίσης να αφορά τη διοργάνωση κατάρτισης, τη δικτύωση μεταξύ μελών και τη στρατολόγηση νέων μελών·</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 οι λειτουργικές δαπάνες της συνεργασίας·</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δ) οι άμεσες δαπάνες συγκεκριμένων έργων που συνδέονται με την υλοποίηση επιχειρηματικού σχεδίου·</w:t>
      </w:r>
    </w:p>
    <w:p w:rsidR="00D52E1C"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 δραστηριότητες προώθησης.</w:t>
      </w:r>
    </w:p>
    <w:p w:rsidR="00B153B2" w:rsidRPr="000C4EC5" w:rsidRDefault="00D52E1C" w:rsidP="00D52E1C">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κάθε πράξη που θα ενταχθεί θα πρέπει να αποτελεί πιλοτικό έργο.</w:t>
      </w:r>
      <w:r w:rsidR="00B55B3E" w:rsidRPr="000C4EC5">
        <w:rPr>
          <w:rFonts w:ascii="Tahoma" w:hAnsi="Tahoma" w:cs="Tahoma"/>
          <w:color w:val="000000" w:themeColor="text1"/>
          <w:szCs w:val="20"/>
          <w:lang w:val="el-GR"/>
        </w:rPr>
        <w:t xml:space="preserve"> </w:t>
      </w:r>
      <w:r w:rsidR="00B153B2" w:rsidRPr="000C4EC5">
        <w:rPr>
          <w:rFonts w:ascii="Tahoma" w:hAnsi="Tahoma" w:cs="Tahoma"/>
          <w:color w:val="000000" w:themeColor="text1"/>
          <w:szCs w:val="20"/>
          <w:lang w:val="el-GR"/>
        </w:rPr>
        <w:t xml:space="preserve">   </w:t>
      </w:r>
    </w:p>
    <w:p w:rsidR="00B153B2" w:rsidRPr="000C4EC5" w:rsidRDefault="00B153B2"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Δικαιούχοι:</w:t>
      </w:r>
      <w:r w:rsidRPr="000C4EC5">
        <w:rPr>
          <w:rFonts w:ascii="Tahoma" w:hAnsi="Tahoma" w:cs="Tahoma"/>
          <w:color w:val="000000" w:themeColor="text1"/>
          <w:szCs w:val="20"/>
          <w:lang w:val="el-GR"/>
        </w:rPr>
        <w:t xml:space="preserve"> </w:t>
      </w:r>
      <w:r w:rsidR="00D52E1C" w:rsidRPr="000C4EC5">
        <w:rPr>
          <w:rFonts w:ascii="Tahoma" w:hAnsi="Tahoma" w:cs="Tahoma"/>
          <w:szCs w:val="20"/>
          <w:lang w:val="el-GR"/>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p>
    <w:p w:rsidR="00B153B2" w:rsidRPr="000C4EC5" w:rsidRDefault="00B153B2"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Ποσοστό επιχορήγησης:</w:t>
      </w:r>
      <w:r w:rsidRPr="000C4EC5">
        <w:rPr>
          <w:rFonts w:ascii="Tahoma" w:hAnsi="Tahoma" w:cs="Tahoma"/>
          <w:szCs w:val="20"/>
          <w:lang w:val="el-GR"/>
        </w:rPr>
        <w:t xml:space="preserve"> </w:t>
      </w:r>
      <w:r w:rsidR="00B55B3E" w:rsidRPr="000C4EC5">
        <w:rPr>
          <w:rFonts w:ascii="Tahoma" w:hAnsi="Tahoma" w:cs="Tahoma"/>
          <w:szCs w:val="20"/>
          <w:lang w:val="el-GR"/>
        </w:rPr>
        <w:t xml:space="preserve">65% </w:t>
      </w:r>
      <w:r w:rsidR="006A2772" w:rsidRPr="000C4EC5">
        <w:rPr>
          <w:rFonts w:ascii="Tahoma" w:hAnsi="Tahoma" w:cs="Tahoma"/>
          <w:szCs w:val="20"/>
          <w:lang w:val="el-GR"/>
        </w:rPr>
        <w:t>[</w:t>
      </w:r>
      <w:r w:rsidR="00B55B3E" w:rsidRPr="000C4EC5">
        <w:rPr>
          <w:rFonts w:ascii="Tahoma" w:hAnsi="Tahoma" w:cs="Tahoma"/>
          <w:szCs w:val="20"/>
          <w:lang w:val="el-GR"/>
        </w:rPr>
        <w:t xml:space="preserve">Καν. </w:t>
      </w:r>
      <w:r w:rsidR="006A2772" w:rsidRPr="000C4EC5">
        <w:rPr>
          <w:rFonts w:ascii="Tahoma" w:hAnsi="Tahoma" w:cs="Tahoma"/>
          <w:szCs w:val="20"/>
          <w:lang w:val="el-GR"/>
        </w:rPr>
        <w:t xml:space="preserve">(ΕΕ) </w:t>
      </w:r>
      <w:r w:rsidR="00B55B3E" w:rsidRPr="000C4EC5">
        <w:rPr>
          <w:rFonts w:ascii="Tahoma" w:hAnsi="Tahoma" w:cs="Tahoma"/>
          <w:szCs w:val="20"/>
          <w:lang w:val="el-GR"/>
        </w:rPr>
        <w:t>1407/13 de minimis</w:t>
      </w:r>
      <w:r w:rsidR="006A2772" w:rsidRPr="000C4EC5">
        <w:rPr>
          <w:rFonts w:ascii="Tahoma" w:hAnsi="Tahoma" w:cs="Tahoma"/>
          <w:szCs w:val="20"/>
          <w:lang w:val="el-GR"/>
        </w:rPr>
        <w:t>]</w:t>
      </w:r>
      <w:r w:rsidRPr="000C4EC5">
        <w:rPr>
          <w:rFonts w:ascii="Tahoma" w:hAnsi="Tahoma" w:cs="Tahoma"/>
          <w:szCs w:val="20"/>
          <w:lang w:val="el-GR"/>
        </w:rPr>
        <w:t>.</w:t>
      </w:r>
    </w:p>
    <w:p w:rsidR="00B153B2" w:rsidRPr="000C4EC5" w:rsidRDefault="00B153B2"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B55B3E" w:rsidRPr="000C4EC5">
        <w:rPr>
          <w:rFonts w:ascii="Tahoma" w:hAnsi="Tahoma" w:cs="Tahoma"/>
          <w:b/>
          <w:color w:val="000000" w:themeColor="text1"/>
          <w:szCs w:val="20"/>
          <w:lang w:val="el-GR"/>
        </w:rPr>
        <w:t>1</w:t>
      </w:r>
      <w:r w:rsidR="006A2772" w:rsidRPr="000C4EC5">
        <w:rPr>
          <w:rFonts w:ascii="Tahoma" w:hAnsi="Tahoma" w:cs="Tahoma"/>
          <w:b/>
          <w:color w:val="000000" w:themeColor="text1"/>
          <w:szCs w:val="20"/>
          <w:lang w:val="el-GR"/>
        </w:rPr>
        <w:t>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B55B3E" w:rsidRPr="000C4EC5" w:rsidRDefault="00B55B3E" w:rsidP="00BB7D0F">
      <w:pPr>
        <w:tabs>
          <w:tab w:val="num" w:pos="0"/>
          <w:tab w:val="left" w:pos="8192"/>
        </w:tabs>
        <w:spacing w:before="40" w:after="40" w:line="240" w:lineRule="auto"/>
        <w:jc w:val="left"/>
        <w:rPr>
          <w:rFonts w:ascii="Tahoma" w:hAnsi="Tahoma" w:cs="Tahoma"/>
          <w:b/>
          <w:color w:val="000000" w:themeColor="text1"/>
          <w:szCs w:val="20"/>
          <w:lang w:val="el-GR"/>
        </w:rPr>
      </w:pPr>
      <w:r w:rsidRPr="000C4EC5">
        <w:rPr>
          <w:rFonts w:ascii="Tahoma" w:hAnsi="Tahoma" w:cs="Tahoma"/>
          <w:b/>
          <w:color w:val="000000" w:themeColor="text1"/>
          <w:szCs w:val="20"/>
          <w:lang w:val="el-GR"/>
        </w:rPr>
        <w:t>19.2.7.3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Στο πλαίσιο της υποδράσης δίνεται μέσα από ενέργειες συνεργασίας η δυνατότητα σε μικρές επιχειρήσεις για διοργάνωση κοινών μεθόδων εργασίας και την κοινή χρήση εγκαταστάσεων και πόρων καθώς και για την ανάπτυξη και /ή την εμπορία τουριστικών υπηρεσιών, που συνδέονται με τον αγροτουρισμό.</w:t>
      </w:r>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Η χωροθέτηση των  μικρών επιχειρήσεων στην περιοχή παρέμβασης αυξάνει την ανάγκη μορφών συνεργασίας και τη δημιουργία οικονομιών</w:t>
      </w:r>
      <w:r w:rsidR="00C72A87">
        <w:rPr>
          <w:rFonts w:ascii="Tahoma" w:hAnsi="Tahoma" w:cs="Tahoma"/>
          <w:color w:val="000000" w:themeColor="text1"/>
          <w:szCs w:val="20"/>
          <w:lang w:val="el-GR"/>
        </w:rPr>
        <w:t xml:space="preserve"> κλίμακος</w:t>
      </w:r>
      <w:r w:rsidRPr="000C4EC5">
        <w:rPr>
          <w:rFonts w:ascii="Tahoma" w:hAnsi="Tahoma" w:cs="Tahoma"/>
          <w:color w:val="000000" w:themeColor="text1"/>
          <w:szCs w:val="20"/>
          <w:lang w:val="el-GR"/>
        </w:rPr>
        <w:t xml:space="preserve">, δίνοντας έτσι τη δυνατότητα ανάπτυξης καινοτόμων προϊόντων, διαδικασιών και πρακτικών. Η στήριξη της συνεργασίας μεταξύ των μικρών επιχειρήσεων, ώστε να μοιραστούν γνώση, εμπειρίες πόρους και εγκαταστάσεις θα οδηγήσει στην ενίσχυση της ανταγωνιστικότητάς τους, ενώ η συνεργασία τους </w:t>
      </w:r>
      <w:r w:rsidR="00C72A87">
        <w:rPr>
          <w:rFonts w:ascii="Tahoma" w:hAnsi="Tahoma" w:cs="Tahoma"/>
          <w:color w:val="000000" w:themeColor="text1"/>
          <w:szCs w:val="20"/>
          <w:lang w:val="el-GR"/>
        </w:rPr>
        <w:t>στον</w:t>
      </w:r>
      <w:r w:rsidRPr="000C4EC5">
        <w:rPr>
          <w:rFonts w:ascii="Tahoma" w:hAnsi="Tahoma" w:cs="Tahoma"/>
          <w:color w:val="000000" w:themeColor="text1"/>
          <w:szCs w:val="20"/>
          <w:lang w:val="el-GR"/>
        </w:rPr>
        <w:t xml:space="preserve"> αγροτουρισμό θα ενισχύσει και την προώθηση των τουριστικών υπηρεσιών.</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επιχειρήσεις αυτές, ενδεικτικά μπορούν να δραστηριοποιούνται στους τομείς καταλυμάτων, εστίασης, αναψυχής, εμπορίου, παροχής υπηρεσιών, εναλλακτικών μορφών τουρισμού, στη μεταποίηση αγροτικών προϊόντων με αποτέλεσμα ΜΗ ΓΕΩΡΓΙΚΟ προϊόν, καθώς και στην εμπορία στον τομέα αγροδιατροφής για μη γεωργικά προϊόντα. </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Επίσης θα μπορούν να δραστηριοποιούνται στον ίδιο κλάδο δραστηριότητας (</w:t>
      </w:r>
      <w:r w:rsidRPr="000C4EC5">
        <w:rPr>
          <w:rFonts w:ascii="Tahoma" w:hAnsi="Tahoma" w:cs="Tahoma"/>
          <w:b/>
          <w:color w:val="000000" w:themeColor="text1"/>
          <w:szCs w:val="20"/>
          <w:lang w:val="el-GR"/>
        </w:rPr>
        <w:t>οριζόντια</w:t>
      </w:r>
      <w:r w:rsidRPr="000C4EC5">
        <w:rPr>
          <w:rFonts w:ascii="Tahoma" w:hAnsi="Tahoma" w:cs="Tahoma"/>
          <w:color w:val="000000" w:themeColor="text1"/>
          <w:szCs w:val="20"/>
          <w:lang w:val="el-GR"/>
        </w:rPr>
        <w:t xml:space="preserve"> συνεργασία) ή σε διαφορετικούς κλάδους της διαδικασίας παραγωγής, αλλά να ανήκουν στην ίδια εφοδιαστική αλυσίδα (</w:t>
      </w:r>
      <w:r w:rsidRPr="000C4EC5">
        <w:rPr>
          <w:rFonts w:ascii="Tahoma" w:hAnsi="Tahoma" w:cs="Tahoma"/>
          <w:b/>
          <w:color w:val="000000" w:themeColor="text1"/>
          <w:szCs w:val="20"/>
          <w:lang w:val="el-GR"/>
        </w:rPr>
        <w:t>κάθετη</w:t>
      </w:r>
      <w:r w:rsidRPr="000C4EC5">
        <w:rPr>
          <w:rFonts w:ascii="Tahoma" w:hAnsi="Tahoma" w:cs="Tahoma"/>
          <w:color w:val="000000" w:themeColor="text1"/>
          <w:szCs w:val="20"/>
          <w:lang w:val="el-GR"/>
        </w:rPr>
        <w:t xml:space="preserve"> συνεργασία). Σε περίπτωση δημιουργίας </w:t>
      </w:r>
      <w:r w:rsidRPr="000C4EC5">
        <w:rPr>
          <w:rFonts w:ascii="Tahoma" w:hAnsi="Tahoma" w:cs="Tahoma"/>
          <w:color w:val="000000" w:themeColor="text1"/>
          <w:szCs w:val="20"/>
        </w:rPr>
        <w:t>cluster</w:t>
      </w:r>
      <w:r w:rsidRPr="000C4EC5">
        <w:rPr>
          <w:rFonts w:ascii="Tahoma" w:hAnsi="Tahoma" w:cs="Tahoma"/>
          <w:color w:val="000000" w:themeColor="text1"/>
          <w:szCs w:val="20"/>
          <w:lang w:val="el-GR"/>
        </w:rPr>
        <w:t xml:space="preserve">, τα μέλη των </w:t>
      </w:r>
      <w:r w:rsidRPr="000C4EC5">
        <w:rPr>
          <w:rFonts w:ascii="Tahoma" w:hAnsi="Tahoma" w:cs="Tahoma"/>
          <w:color w:val="000000" w:themeColor="text1"/>
          <w:szCs w:val="20"/>
        </w:rPr>
        <w:t>clusters</w:t>
      </w:r>
      <w:r w:rsidRPr="000C4EC5">
        <w:rPr>
          <w:rFonts w:ascii="Tahoma" w:hAnsi="Tahoma" w:cs="Tahoma"/>
          <w:color w:val="000000" w:themeColor="text1"/>
          <w:szCs w:val="20"/>
          <w:lang w:val="el-GR"/>
        </w:rPr>
        <w:t xml:space="preserve"> πρέπει να δεσμεύονται για το είδος της συνεργασίας από την μεταξύ τους σύμβαση στην οποία θα προσδιορίζονται με σαφήνεια οι σχέσεις μεταξύ τους, ο στόχος αλλά και το χρονοδιάγραμμα υλοποίησης. </w:t>
      </w:r>
    </w:p>
    <w:p w:rsidR="006A2772" w:rsidRPr="000C4EC5" w:rsidRDefault="006A2772" w:rsidP="006A2772">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lastRenderedPageBreak/>
        <w:t>Οι μορφές συνεργασίας μπορούν να στοχεύουν στα παρακάτω:</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επίτευξη οικονομιών κλίμακας (κοινές προμήθειες, </w:t>
      </w:r>
      <w:r w:rsidRPr="000C4EC5">
        <w:rPr>
          <w:rFonts w:ascii="Tahoma" w:hAnsi="Tahoma" w:cs="Tahoma"/>
          <w:color w:val="000000" w:themeColor="text1"/>
          <w:szCs w:val="20"/>
        </w:rPr>
        <w:t>logistics</w:t>
      </w:r>
      <w:r w:rsidRPr="000C4EC5">
        <w:rPr>
          <w:rFonts w:ascii="Tahoma" w:hAnsi="Tahoma" w:cs="Tahoma"/>
          <w:color w:val="000000" w:themeColor="text1"/>
          <w:szCs w:val="20"/>
          <w:lang w:val="el-GR"/>
        </w:rPr>
        <w:t xml:space="preserve">, αποθήκες κ.ά.), </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πρόσβαση σε πόρους (αγορές κεφαλαίων, ανάπτυξη και μεταφορά γνώσης, εξειδικευμένο προσωπικό),</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δράσεις για άμεση και έγκαιρη πληροφόρηση,</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ανάληψη πρωτοβουλιών για τη μείωση του κόστους παραγωγής, </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lang w:val="el-GR"/>
        </w:rPr>
      </w:pPr>
      <w:r w:rsidRPr="000C4EC5">
        <w:rPr>
          <w:rFonts w:ascii="Tahoma" w:hAnsi="Tahoma" w:cs="Tahoma"/>
          <w:color w:val="000000" w:themeColor="text1"/>
          <w:szCs w:val="20"/>
          <w:lang w:val="el-GR"/>
        </w:rPr>
        <w:t>βελτίωση της λειτουργίας και την αύξηση της ανταγωνιστικότητας των επιχειρήσεων - εταίρων της συνεργασίας</w:t>
      </w:r>
    </w:p>
    <w:p w:rsidR="006A2772" w:rsidRPr="000C4EC5" w:rsidRDefault="006A2772" w:rsidP="006A2772">
      <w:pPr>
        <w:widowControl w:val="0"/>
        <w:numPr>
          <w:ilvl w:val="0"/>
          <w:numId w:val="41"/>
        </w:numPr>
        <w:spacing w:before="40" w:after="40" w:line="240" w:lineRule="auto"/>
        <w:ind w:left="426" w:hanging="357"/>
        <w:rPr>
          <w:rFonts w:ascii="Tahoma" w:hAnsi="Tahoma" w:cs="Tahoma"/>
          <w:color w:val="000000" w:themeColor="text1"/>
          <w:szCs w:val="20"/>
        </w:rPr>
      </w:pPr>
      <w:r w:rsidRPr="000C4EC5">
        <w:rPr>
          <w:rFonts w:ascii="Tahoma" w:hAnsi="Tahoma" w:cs="Tahoma"/>
          <w:color w:val="000000" w:themeColor="text1"/>
          <w:szCs w:val="20"/>
        </w:rPr>
        <w:t>Λοιπές συλλογικές δράσεις / έργα συνεργασίας</w:t>
      </w:r>
    </w:p>
    <w:p w:rsidR="006A2772" w:rsidRPr="000C4EC5" w:rsidRDefault="006A2772" w:rsidP="006A2772">
      <w:pPr>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 xml:space="preserve">Οι ενέργειες που θα αναληφθούν μπορεί να αφορούν έναν ή περισσότερους από τους παρακάτω τομείς: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Ανάπτυξη κοινών υποδομών (πχ δημιουργία τουριστικών διαδρομών)</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Διαμόρφωση ολοκληρωμένων θεματικών πακέτων προϊόντων και υπηρεσιών (πχ θρησκευτικός, πολιτιστικός, αθλητικός τουρισμός)</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Κοινό Μ</w:t>
      </w:r>
      <w:r w:rsidRPr="00C72A87">
        <w:rPr>
          <w:rFonts w:ascii="Tahoma" w:hAnsi="Tahoma" w:cs="Tahoma"/>
          <w:color w:val="000000" w:themeColor="text1"/>
          <w:szCs w:val="20"/>
        </w:rPr>
        <w:t>arketing</w:t>
      </w:r>
      <w:r w:rsidRPr="00C72A87">
        <w:rPr>
          <w:rFonts w:ascii="Tahoma" w:hAnsi="Tahoma" w:cs="Tahoma"/>
          <w:color w:val="000000" w:themeColor="text1"/>
          <w:szCs w:val="20"/>
          <w:lang w:val="el-GR"/>
        </w:rPr>
        <w:t xml:space="preserve">, </w:t>
      </w:r>
      <w:r w:rsidRPr="00C72A87">
        <w:rPr>
          <w:rFonts w:ascii="Tahoma" w:hAnsi="Tahoma" w:cs="Tahoma"/>
          <w:color w:val="000000" w:themeColor="text1"/>
          <w:szCs w:val="20"/>
        </w:rPr>
        <w:t>Branding</w:t>
      </w:r>
      <w:r w:rsidRPr="00C72A87">
        <w:rPr>
          <w:rFonts w:ascii="Tahoma" w:hAnsi="Tahoma" w:cs="Tahoma"/>
          <w:color w:val="000000" w:themeColor="text1"/>
          <w:szCs w:val="20"/>
          <w:lang w:val="el-GR"/>
        </w:rPr>
        <w:t>, Δημόσιες σχέσεις (πχ οργάνωση εκδηλώσεων, κοινή προβολή, συμμετοχή σε εκθέσεις, έντυπα κ.α)</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Κοινή αξιοποίηση των νέων εργαλείων τεχνολογίας, πληροφορικής και επικοινωνιών (ΤΠΕ) (πχ </w:t>
      </w:r>
      <w:r w:rsidRPr="00C72A87">
        <w:rPr>
          <w:rFonts w:ascii="Tahoma" w:hAnsi="Tahoma" w:cs="Tahoma"/>
          <w:color w:val="000000" w:themeColor="text1"/>
          <w:szCs w:val="20"/>
        </w:rPr>
        <w:t>applications</w:t>
      </w:r>
      <w:r w:rsidRPr="00C72A87">
        <w:rPr>
          <w:rFonts w:ascii="Tahoma" w:hAnsi="Tahoma" w:cs="Tahoma"/>
          <w:color w:val="000000" w:themeColor="text1"/>
          <w:szCs w:val="20"/>
          <w:lang w:val="el-GR"/>
        </w:rPr>
        <w:t xml:space="preserve">, κοινό κεντρικό σύστημα κρατήσεων, ανάπτυξη κοινών Βάσεων δεδομένων προσβάσιμων από το </w:t>
      </w:r>
      <w:r w:rsidRPr="00C72A87">
        <w:rPr>
          <w:rFonts w:ascii="Tahoma" w:hAnsi="Tahoma" w:cs="Tahoma"/>
          <w:color w:val="000000" w:themeColor="text1"/>
          <w:szCs w:val="20"/>
        </w:rPr>
        <w:t>Internet</w:t>
      </w:r>
      <w:r w:rsidRPr="00C72A87">
        <w:rPr>
          <w:rFonts w:ascii="Tahoma" w:hAnsi="Tahoma" w:cs="Tahoma"/>
          <w:color w:val="000000" w:themeColor="text1"/>
          <w:szCs w:val="20"/>
          <w:lang w:val="el-GR"/>
        </w:rPr>
        <w:t xml:space="preserve"> κ.α)</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Υιοθέτηση τεχνικών και εργαλείων για πρόσβαση σε νέες αγορές και στην ανταπόκριση στις μεταβαλλόμενες συνθήκες ζήτησης προϊόντων και υπηρεσιών</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rPr>
      </w:pPr>
      <w:r w:rsidRPr="00C72A87">
        <w:rPr>
          <w:rFonts w:ascii="Tahoma" w:hAnsi="Tahoma" w:cs="Tahoma"/>
          <w:color w:val="000000" w:themeColor="text1"/>
          <w:szCs w:val="20"/>
        </w:rPr>
        <w:t>Καθιέρωση συγκεκριμένων προδιαγραφών ποιότητας,</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Προαγωγή της καινοτομίας και ανάληψη καινοτόμων παρεμβάσεων για την ανάδειξη της τοπικής ταυτότητας,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rPr>
      </w:pPr>
      <w:r w:rsidRPr="00C72A87">
        <w:rPr>
          <w:rFonts w:ascii="Tahoma" w:hAnsi="Tahoma" w:cs="Tahoma"/>
          <w:color w:val="000000" w:themeColor="text1"/>
          <w:szCs w:val="20"/>
        </w:rPr>
        <w:t xml:space="preserve">Μεταφορά τεχνογνωσίας </w:t>
      </w:r>
    </w:p>
    <w:p w:rsidR="006A2772" w:rsidRPr="00C72A87" w:rsidRDefault="006A2772" w:rsidP="00FA7640">
      <w:pPr>
        <w:numPr>
          <w:ilvl w:val="0"/>
          <w:numId w:val="42"/>
        </w:numPr>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Εισαγωγή πρακτικών για την αειφόρο ανάπτυξη της περιοχής, </w:t>
      </w:r>
    </w:p>
    <w:p w:rsidR="006A2772" w:rsidRPr="00C72A87" w:rsidRDefault="006A2772" w:rsidP="00FA7640">
      <w:pPr>
        <w:numPr>
          <w:ilvl w:val="0"/>
          <w:numId w:val="42"/>
        </w:numPr>
        <w:tabs>
          <w:tab w:val="num" w:pos="0"/>
        </w:tabs>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 xml:space="preserve">Δράσεις για την αντιμετώπιση της φτώχιας, των κοινωνικών ανισοτήτων και της κοινωνικής απομόνωσης και την υποστήριξη των κοινωνικά ευάλωτων ομάδων, </w:t>
      </w:r>
    </w:p>
    <w:p w:rsidR="00B55B3E" w:rsidRPr="00C72A87" w:rsidRDefault="006A2772" w:rsidP="00FA7640">
      <w:pPr>
        <w:numPr>
          <w:ilvl w:val="0"/>
          <w:numId w:val="42"/>
        </w:numPr>
        <w:tabs>
          <w:tab w:val="num" w:pos="0"/>
        </w:tabs>
        <w:spacing w:before="0" w:after="0" w:line="240" w:lineRule="auto"/>
        <w:ind w:left="426" w:hanging="357"/>
        <w:rPr>
          <w:rFonts w:ascii="Tahoma" w:hAnsi="Tahoma" w:cs="Tahoma"/>
          <w:color w:val="000000" w:themeColor="text1"/>
          <w:szCs w:val="20"/>
          <w:lang w:val="el-GR"/>
        </w:rPr>
      </w:pPr>
      <w:r w:rsidRPr="00C72A87">
        <w:rPr>
          <w:rFonts w:ascii="Tahoma" w:hAnsi="Tahoma" w:cs="Tahoma"/>
          <w:color w:val="000000" w:themeColor="text1"/>
          <w:szCs w:val="20"/>
          <w:lang w:val="el-GR"/>
        </w:rPr>
        <w:t>Στην περιβαλλοντική ευαισθητοποίηση της τοπικής κοινωνίας και των επισκεπτών.</w:t>
      </w:r>
      <w:r w:rsidR="00B55B3E" w:rsidRPr="00C72A87">
        <w:rPr>
          <w:rFonts w:ascii="Tahoma" w:hAnsi="Tahoma" w:cs="Tahoma"/>
          <w:color w:val="000000" w:themeColor="text1"/>
          <w:szCs w:val="20"/>
          <w:lang w:val="el-GR"/>
        </w:rPr>
        <w:t xml:space="preserve">    </w:t>
      </w:r>
    </w:p>
    <w:p w:rsidR="00B55B3E" w:rsidRPr="000C4EC5" w:rsidRDefault="00B55B3E"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Δικαιούχοι:</w:t>
      </w:r>
      <w:r w:rsidR="006A2772" w:rsidRPr="000C4EC5">
        <w:rPr>
          <w:rFonts w:ascii="Tahoma" w:hAnsi="Tahoma" w:cs="Tahoma"/>
          <w:b/>
          <w:color w:val="000000" w:themeColor="text1"/>
          <w:szCs w:val="20"/>
          <w:lang w:val="el-GR"/>
        </w:rPr>
        <w:t xml:space="preserve"> </w:t>
      </w:r>
      <w:r w:rsidR="006A2772" w:rsidRPr="000C4EC5">
        <w:rPr>
          <w:rFonts w:ascii="Tahoma" w:hAnsi="Tahoma" w:cs="Tahoma"/>
          <w:color w:val="000000" w:themeColor="text1"/>
          <w:szCs w:val="20"/>
          <w:lang w:val="el-GR"/>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p>
    <w:p w:rsidR="00B55B3E" w:rsidRPr="000C4EC5" w:rsidRDefault="00B55B3E" w:rsidP="00BB7D0F">
      <w:pPr>
        <w:tabs>
          <w:tab w:val="num" w:pos="0"/>
          <w:tab w:val="left" w:pos="8192"/>
        </w:tabs>
        <w:spacing w:before="40" w:after="40" w:line="240" w:lineRule="auto"/>
        <w:rPr>
          <w:rFonts w:ascii="Tahoma" w:hAnsi="Tahoma" w:cs="Tahoma"/>
          <w:color w:val="000000" w:themeColor="text1"/>
          <w:szCs w:val="20"/>
          <w:lang w:val="el-GR"/>
        </w:rPr>
      </w:pPr>
      <w:r w:rsidRPr="000C4EC5">
        <w:rPr>
          <w:rFonts w:ascii="Tahoma" w:hAnsi="Tahoma" w:cs="Tahoma"/>
          <w:b/>
          <w:color w:val="000000" w:themeColor="text1"/>
          <w:szCs w:val="20"/>
          <w:lang w:val="el-GR"/>
        </w:rPr>
        <w:t>Ποσοστό επιχορήγησης:</w:t>
      </w:r>
      <w:r w:rsidRPr="000C4EC5">
        <w:rPr>
          <w:rFonts w:ascii="Tahoma" w:hAnsi="Tahoma" w:cs="Tahoma"/>
          <w:szCs w:val="20"/>
          <w:lang w:val="el-GR"/>
        </w:rPr>
        <w:t xml:space="preserve"> 65% </w:t>
      </w:r>
      <w:r w:rsidR="006A2772" w:rsidRPr="000C4EC5">
        <w:rPr>
          <w:rFonts w:ascii="Tahoma" w:hAnsi="Tahoma" w:cs="Tahoma"/>
          <w:szCs w:val="20"/>
          <w:lang w:val="el-GR"/>
        </w:rPr>
        <w:t>[</w:t>
      </w:r>
      <w:r w:rsidRPr="000C4EC5">
        <w:rPr>
          <w:rFonts w:ascii="Tahoma" w:hAnsi="Tahoma" w:cs="Tahoma"/>
          <w:szCs w:val="20"/>
          <w:lang w:val="el-GR"/>
        </w:rPr>
        <w:t xml:space="preserve">Καν. </w:t>
      </w:r>
      <w:r w:rsidR="006A2772" w:rsidRPr="000C4EC5">
        <w:rPr>
          <w:rFonts w:ascii="Tahoma" w:hAnsi="Tahoma" w:cs="Tahoma"/>
          <w:szCs w:val="20"/>
          <w:lang w:val="el-GR"/>
        </w:rPr>
        <w:t xml:space="preserve">(ΕΕ) </w:t>
      </w:r>
      <w:r w:rsidRPr="000C4EC5">
        <w:rPr>
          <w:rFonts w:ascii="Tahoma" w:hAnsi="Tahoma" w:cs="Tahoma"/>
          <w:szCs w:val="20"/>
          <w:lang w:val="el-GR"/>
        </w:rPr>
        <w:t>1407/13 de minimis</w:t>
      </w:r>
      <w:r w:rsidR="006A2772" w:rsidRPr="000C4EC5">
        <w:rPr>
          <w:rFonts w:ascii="Tahoma" w:hAnsi="Tahoma" w:cs="Tahoma"/>
          <w:szCs w:val="20"/>
          <w:lang w:val="el-GR"/>
        </w:rPr>
        <w:t>]</w:t>
      </w:r>
      <w:r w:rsidRPr="000C4EC5">
        <w:rPr>
          <w:rFonts w:ascii="Tahoma" w:hAnsi="Tahoma" w:cs="Tahoma"/>
          <w:szCs w:val="20"/>
          <w:lang w:val="el-GR"/>
        </w:rPr>
        <w:t>.</w:t>
      </w:r>
    </w:p>
    <w:p w:rsidR="00B55B3E" w:rsidRPr="000C4EC5" w:rsidRDefault="00B55B3E"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Ενδεικτική συγχρηματοδοτούμενη Δημόσια Δαπάνη: </w:t>
      </w:r>
      <w:r w:rsidR="00FA7640" w:rsidRPr="000C4EC5">
        <w:rPr>
          <w:rFonts w:ascii="Tahoma" w:hAnsi="Tahoma" w:cs="Tahoma"/>
          <w:b/>
          <w:color w:val="000000" w:themeColor="text1"/>
          <w:szCs w:val="20"/>
          <w:lang w:val="el-GR"/>
        </w:rPr>
        <w:t>100</w:t>
      </w:r>
      <w:r w:rsidRPr="000C4EC5">
        <w:rPr>
          <w:rFonts w:ascii="Tahoma" w:hAnsi="Tahoma" w:cs="Tahoma"/>
          <w:b/>
          <w:color w:val="000000" w:themeColor="text1"/>
          <w:szCs w:val="20"/>
          <w:lang w:val="el-GR"/>
        </w:rPr>
        <w:t>.000,00 €.</w:t>
      </w:r>
    </w:p>
    <w:p w:rsidR="008254C4" w:rsidRPr="000C4EC5" w:rsidRDefault="008254C4" w:rsidP="00BB7D0F">
      <w:pPr>
        <w:tabs>
          <w:tab w:val="num" w:pos="0"/>
          <w:tab w:val="left" w:pos="8192"/>
        </w:tabs>
        <w:spacing w:before="40" w:after="40" w:line="240" w:lineRule="auto"/>
        <w:jc w:val="left"/>
        <w:rPr>
          <w:rFonts w:ascii="Tahoma" w:hAnsi="Tahoma" w:cs="Tahoma"/>
          <w:b/>
          <w:color w:val="000000" w:themeColor="text1"/>
          <w:szCs w:val="20"/>
          <w:lang w:val="el-GR"/>
        </w:rPr>
      </w:pPr>
    </w:p>
    <w:p w:rsidR="008254C4" w:rsidRPr="000C4EC5" w:rsidRDefault="008254C4" w:rsidP="00BB7D0F">
      <w:pPr>
        <w:tabs>
          <w:tab w:val="num" w:pos="0"/>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ΓΕΝΙΚΕΣ ΠΛΗΡΟΦΟΡΙΕΣ</w:t>
      </w:r>
    </w:p>
    <w:p w:rsidR="006A2772" w:rsidRPr="000C4EC5" w:rsidRDefault="006A2772" w:rsidP="006A2772">
      <w:pPr>
        <w:pStyle w:val="aa"/>
        <w:tabs>
          <w:tab w:val="num" w:pos="142"/>
        </w:tabs>
        <w:spacing w:before="40" w:after="40"/>
        <w:jc w:val="both"/>
        <w:rPr>
          <w:rFonts w:ascii="Tahoma" w:hAnsi="Tahoma" w:cs="Tahoma"/>
          <w:sz w:val="20"/>
          <w:szCs w:val="20"/>
        </w:rPr>
      </w:pPr>
      <w:bookmarkStart w:id="5" w:name="_Hlk536707750"/>
      <w:r w:rsidRPr="000C4EC5">
        <w:rPr>
          <w:rFonts w:ascii="Tahoma" w:hAnsi="Tahoma" w:cs="Tahoma"/>
          <w:sz w:val="20"/>
          <w:szCs w:val="20"/>
        </w:rPr>
        <w:t>α. Η ενίσχυση χορηγείται στο δικαιούχο με τη μορφή επιχορήγησης και το ύψος της υπολογίζεται βάσει των επιλέξιμων δαπανών.</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Ο συνολικός προϋπολογισμός κάθε αίτησης στήριξης δυνητικού δικαιούχου ενίσχυσης δεν μπορεί να υπερβεί τις 600.000 € για πράξεις που αφορούν σε υποδομές ή / και εξοπλισμό και τις 100.000€ για άυλες πράξεις.</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 xml:space="preserve">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 </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 xml:space="preserve">Σε περίπτωση χρήσης του καθεστώτος de minimis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επίπεδο ενιαίας επιχείρησης. </w:t>
      </w:r>
    </w:p>
    <w:p w:rsidR="006A2772" w:rsidRPr="000C4EC5" w:rsidRDefault="006A2772" w:rsidP="006A2772">
      <w:pPr>
        <w:pStyle w:val="aa"/>
        <w:tabs>
          <w:tab w:val="num" w:pos="142"/>
        </w:tabs>
        <w:spacing w:before="40" w:after="40"/>
        <w:jc w:val="both"/>
        <w:rPr>
          <w:rFonts w:ascii="Tahoma" w:hAnsi="Tahoma" w:cs="Tahoma"/>
          <w:sz w:val="20"/>
          <w:szCs w:val="20"/>
        </w:rPr>
      </w:pPr>
      <w:r w:rsidRPr="000C4EC5">
        <w:rPr>
          <w:rFonts w:ascii="Tahoma" w:hAnsi="Tahoma" w:cs="Tahoma"/>
          <w:sz w:val="20"/>
          <w:szCs w:val="20"/>
        </w:rPr>
        <w:t>β. Ο φόρος προστιθέμενης αξίας, είναι επιλέξιμος, κατά το μέρος που δεν είναι ανακτήσιμος δυνάμει της εθνικής νομοθεσίας.</w:t>
      </w:r>
    </w:p>
    <w:p w:rsidR="008254C4" w:rsidRPr="000C4EC5" w:rsidRDefault="008254C4" w:rsidP="00BB7D0F">
      <w:pPr>
        <w:tabs>
          <w:tab w:val="left" w:pos="8192"/>
        </w:tabs>
        <w:spacing w:before="40" w:after="40" w:line="240" w:lineRule="auto"/>
        <w:rPr>
          <w:rFonts w:ascii="Tahoma" w:hAnsi="Tahoma" w:cs="Tahoma"/>
          <w:b/>
          <w:color w:val="000000" w:themeColor="text1"/>
          <w:szCs w:val="20"/>
          <w:lang w:val="el-GR"/>
        </w:rPr>
      </w:pPr>
      <w:bookmarkStart w:id="6" w:name="OLE_LINK10"/>
      <w:bookmarkStart w:id="7" w:name="OLE_LINK11"/>
    </w:p>
    <w:p w:rsidR="00E90487" w:rsidRPr="000C4EC5" w:rsidRDefault="00E90487" w:rsidP="00BB7D0F">
      <w:pPr>
        <w:tabs>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ΟΔΗΓΙΕΣ ΥΠΟΒΟΛΗΣ ΑΙΤΗΣΕΩΝ </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 xml:space="preserve">Η πρόσκληση δημοσιεύεται στους ιστότοπους </w:t>
      </w:r>
      <w:hyperlink r:id="rId10" w:history="1">
        <w:r w:rsidRPr="000C4EC5">
          <w:rPr>
            <w:rStyle w:val="-"/>
            <w:rFonts w:ascii="Tahoma" w:hAnsi="Tahoma" w:cs="Tahoma"/>
            <w:szCs w:val="20"/>
            <w:lang w:val="el-GR"/>
          </w:rPr>
          <w:t>www.espa.gr</w:t>
        </w:r>
      </w:hyperlink>
      <w:r w:rsidRPr="000C4EC5">
        <w:rPr>
          <w:rFonts w:ascii="Tahoma" w:hAnsi="Tahoma" w:cs="Tahoma"/>
          <w:szCs w:val="20"/>
          <w:lang w:val="el-GR"/>
        </w:rPr>
        <w:t xml:space="preserve">, </w:t>
      </w:r>
      <w:hyperlink r:id="rId11" w:history="1">
        <w:r w:rsidRPr="000C4EC5">
          <w:rPr>
            <w:rStyle w:val="-"/>
            <w:rFonts w:ascii="Tahoma" w:hAnsi="Tahoma" w:cs="Tahoma"/>
            <w:szCs w:val="20"/>
            <w:lang w:val="el-GR"/>
          </w:rPr>
          <w:t>www.agrotikianaptixi.gr</w:t>
        </w:r>
      </w:hyperlink>
      <w:r w:rsidRPr="000C4EC5">
        <w:rPr>
          <w:rFonts w:ascii="Tahoma" w:hAnsi="Tahoma" w:cs="Tahoma"/>
          <w:szCs w:val="20"/>
          <w:lang w:val="el-GR"/>
        </w:rPr>
        <w:t xml:space="preserve"> και </w:t>
      </w:r>
      <w:hyperlink r:id="rId12" w:history="1">
        <w:r w:rsidRPr="000C4EC5">
          <w:rPr>
            <w:rStyle w:val="-"/>
            <w:rFonts w:ascii="Tahoma" w:hAnsi="Tahoma" w:cs="Tahoma"/>
            <w:szCs w:val="20"/>
            <w:lang w:val="el-GR"/>
          </w:rPr>
          <w:t>www.ankavala.gr</w:t>
        </w:r>
      </w:hyperlink>
      <w:r w:rsidRPr="000C4EC5">
        <w:rPr>
          <w:rFonts w:ascii="Tahoma" w:hAnsi="Tahoma" w:cs="Tahoma"/>
          <w:szCs w:val="20"/>
          <w:lang w:val="el-GR"/>
        </w:rPr>
        <w:t xml:space="preserve">, (ηλεκτρονική σελίδα Αναπτυξιακής Καβάλας - ΑΑΕ ΟΤΑ).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εκδήλωσης ενδιαφέροντος. </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lastRenderedPageBreak/>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φάκελο στην ΟΤΔ.</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Η υποβολή της αίτησης στήριξης, ηλεκτρονικά μέσω της ιστοσελίδας Πληροφορικού Συστήματος Κρατικών Ενισχύσεων (ΠΣΚΕ) (</w:t>
      </w:r>
      <w:hyperlink r:id="rId13" w:history="1">
        <w:r w:rsidRPr="000C4EC5">
          <w:rPr>
            <w:rStyle w:val="-"/>
            <w:rFonts w:ascii="Tahoma" w:hAnsi="Tahoma" w:cs="Tahoma"/>
            <w:szCs w:val="20"/>
            <w:lang w:val="el-GR"/>
          </w:rPr>
          <w:t>www.ependyseis.gr</w:t>
        </w:r>
      </w:hyperlink>
      <w:r w:rsidRPr="000C4EC5">
        <w:rPr>
          <w:rFonts w:ascii="Tahoma" w:hAnsi="Tahoma" w:cs="Tahoma"/>
          <w:szCs w:val="20"/>
          <w:lang w:val="el-GR"/>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αφού συμπληρώσει τα στοιχεία του/της σε «φόρμα εγγραφής» καταχωρείται στο σύστημα και μέσω της αποστολής e-mail από το ΠΣΚΕ, του/της διαβιβάζονται οι κωδικοί πρόσβασης του. Απαραίτητα στοιχεία για την εγγραφή του/της είναι</w:t>
      </w:r>
      <w:r w:rsidR="00C72A87">
        <w:rPr>
          <w:rFonts w:ascii="Tahoma" w:hAnsi="Tahoma" w:cs="Tahoma"/>
          <w:szCs w:val="20"/>
          <w:lang w:val="el-GR"/>
        </w:rPr>
        <w:t xml:space="preserve"> το </w:t>
      </w:r>
      <w:r w:rsidRPr="000C4EC5">
        <w:rPr>
          <w:rFonts w:ascii="Tahoma" w:hAnsi="Tahoma" w:cs="Tahoma"/>
          <w:szCs w:val="20"/>
          <w:lang w:val="el-GR"/>
        </w:rPr>
        <w:t>ΑΦΜ.</w:t>
      </w:r>
    </w:p>
    <w:p w:rsidR="003A1DC7" w:rsidRPr="000C4EC5" w:rsidRDefault="003A1DC7" w:rsidP="003A1DC7">
      <w:pPr>
        <w:spacing w:before="40" w:after="40" w:line="240" w:lineRule="auto"/>
        <w:rPr>
          <w:rFonts w:ascii="Tahoma" w:hAnsi="Tahoma" w:cs="Tahoma"/>
          <w:szCs w:val="20"/>
          <w:lang w:val="el-GR"/>
        </w:rPr>
      </w:pPr>
      <w:r w:rsidRPr="000C4EC5">
        <w:rPr>
          <w:rFonts w:ascii="Tahoma" w:hAnsi="Tahoma" w:cs="Tahoma"/>
          <w:szCs w:val="20"/>
          <w:lang w:val="el-GR"/>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rsidR="008666F5" w:rsidRPr="000C4EC5" w:rsidRDefault="008666F5" w:rsidP="003A1DC7">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rsidR="008666F5" w:rsidRPr="000C4EC5" w:rsidRDefault="008666F5" w:rsidP="00BB7D0F">
      <w:pPr>
        <w:spacing w:before="40" w:after="40" w:line="240" w:lineRule="auto"/>
        <w:rPr>
          <w:rFonts w:ascii="Tahoma" w:hAnsi="Tahoma" w:cs="Tahoma"/>
          <w:b/>
          <w:szCs w:val="20"/>
          <w:lang w:val="el-GR"/>
        </w:rPr>
      </w:pPr>
      <w:r w:rsidRPr="000C4EC5">
        <w:rPr>
          <w:rFonts w:ascii="Tahoma" w:hAnsi="Tahoma" w:cs="Tahoma"/>
          <w:b/>
          <w:szCs w:val="20"/>
          <w:lang w:val="el-GR"/>
        </w:rPr>
        <w:t xml:space="preserve">Η υποβολή των αιτήσεων στήριξης στο ΠΣΚΕ, πραγματοποιείται κατά το διάστημα από </w:t>
      </w:r>
      <w:r w:rsidR="00C72A87">
        <w:rPr>
          <w:rFonts w:ascii="Tahoma" w:hAnsi="Tahoma" w:cs="Tahoma"/>
          <w:b/>
          <w:szCs w:val="20"/>
          <w:lang w:val="el-GR"/>
        </w:rPr>
        <w:t>10.04.2019</w:t>
      </w:r>
      <w:r w:rsidRPr="000C4EC5">
        <w:rPr>
          <w:rFonts w:ascii="Tahoma" w:hAnsi="Tahoma" w:cs="Tahoma"/>
          <w:b/>
          <w:szCs w:val="20"/>
          <w:lang w:val="el-GR"/>
        </w:rPr>
        <w:t xml:space="preserve"> εως </w:t>
      </w:r>
      <w:r w:rsidR="00C72A87">
        <w:rPr>
          <w:rFonts w:ascii="Tahoma" w:hAnsi="Tahoma" w:cs="Tahoma"/>
          <w:b/>
          <w:szCs w:val="20"/>
          <w:lang w:val="el-GR"/>
        </w:rPr>
        <w:t>12.07.2019</w:t>
      </w:r>
      <w:r w:rsidRPr="000C4EC5">
        <w:rPr>
          <w:rFonts w:ascii="Tahoma" w:hAnsi="Tahoma" w:cs="Tahoma"/>
          <w:b/>
          <w:szCs w:val="20"/>
          <w:lang w:val="el-GR"/>
        </w:rPr>
        <w:t xml:space="preserve">.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Μετά την ηλεκτρονική υποβολή στο ΠΣΚΕ, οι δυνητικοί δικαιούχοι οφείλουν </w:t>
      </w:r>
      <w:r w:rsidR="00C72A87">
        <w:rPr>
          <w:rFonts w:ascii="Tahoma" w:hAnsi="Tahoma" w:cs="Tahoma"/>
          <w:szCs w:val="20"/>
          <w:lang w:val="el-GR"/>
        </w:rPr>
        <w:t>εντός προθεσμίας δέκα (10) ημερών</w:t>
      </w:r>
      <w:r w:rsidRPr="000C4EC5">
        <w:rPr>
          <w:rFonts w:ascii="Tahoma" w:hAnsi="Tahoma" w:cs="Tahoma"/>
          <w:szCs w:val="20"/>
          <w:lang w:val="el-GR"/>
        </w:rPr>
        <w:t xml:space="preserve"> 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δύναται να εκπληρώνουν τα κριτήρια επιλεξιμότητας και επιλογής της παρούσας πρόσκλησης.</w:t>
      </w:r>
    </w:p>
    <w:p w:rsidR="008666F5" w:rsidRPr="000C4EC5" w:rsidRDefault="008666F5" w:rsidP="00BB7D0F">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Σε περίπτωση μη εμπρόθεσμης προσκόμισης φακέλου δικαιολογητικών το επενδυτικό σχέδιο θα απορριφθεί ως μη πλήρες.</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rsidR="008666F5" w:rsidRPr="000C4EC5" w:rsidRDefault="008666F5" w:rsidP="00BB7D0F">
      <w:pPr>
        <w:spacing w:before="40" w:after="40" w:line="240" w:lineRule="auto"/>
        <w:rPr>
          <w:rFonts w:ascii="Tahoma" w:hAnsi="Tahoma" w:cs="Tahoma"/>
          <w:b/>
          <w:szCs w:val="20"/>
          <w:u w:val="single"/>
          <w:lang w:val="el-GR"/>
        </w:rPr>
      </w:pPr>
      <w:r w:rsidRPr="000C4EC5">
        <w:rPr>
          <w:rFonts w:ascii="Tahoma" w:hAnsi="Tahoma" w:cs="Tahoma"/>
          <w:b/>
          <w:szCs w:val="20"/>
          <w:u w:val="single"/>
          <w:lang w:val="el-GR"/>
        </w:rPr>
        <w:t>Σε κάθε περίπτωση, ως ημερομηνία έναρξης επιλεξιμότητας λαμβάνεται η ημερομηνία της τελευταίας οριστικοποίησης.</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Επιτρέπεται η κατάθεση μόνο μίας αίτησης στήριξης ανά ΑΦΜ στα πλαίσια της ίδιας υποδράσης ανά ΤΠ για όλη την Προγραμματική Περίοδο 2014-2020.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Προγραμματική Περίοδο 2014-2020. </w:t>
      </w:r>
    </w:p>
    <w:p w:rsidR="008666F5" w:rsidRPr="000C4EC5" w:rsidRDefault="008666F5" w:rsidP="00BB7D0F">
      <w:pPr>
        <w:spacing w:before="40" w:after="40" w:line="240" w:lineRule="auto"/>
        <w:rPr>
          <w:rFonts w:ascii="Tahoma" w:hAnsi="Tahoma" w:cs="Tahoma"/>
          <w:szCs w:val="20"/>
          <w:lang w:val="el-GR"/>
        </w:rPr>
      </w:pPr>
      <w:r w:rsidRPr="000C4EC5">
        <w:rPr>
          <w:rFonts w:ascii="Tahoma" w:hAnsi="Tahoma" w:cs="Tahoma"/>
          <w:szCs w:val="20"/>
          <w:lang w:val="el-GR"/>
        </w:rPr>
        <w:t>Επισήμανση: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bookmarkEnd w:id="5"/>
    <w:bookmarkEnd w:id="6"/>
    <w:bookmarkEnd w:id="7"/>
    <w:p w:rsidR="008254C4" w:rsidRPr="000C4EC5" w:rsidRDefault="008254C4" w:rsidP="00BB7D0F">
      <w:pPr>
        <w:tabs>
          <w:tab w:val="left" w:pos="8192"/>
        </w:tabs>
        <w:spacing w:before="40" w:after="40" w:line="240" w:lineRule="auto"/>
        <w:rPr>
          <w:rFonts w:ascii="Tahoma" w:hAnsi="Tahoma" w:cs="Tahoma"/>
          <w:b/>
          <w:color w:val="000000" w:themeColor="text1"/>
          <w:szCs w:val="20"/>
          <w:lang w:val="el-GR"/>
        </w:rPr>
      </w:pPr>
    </w:p>
    <w:p w:rsidR="00E90487" w:rsidRPr="000C4EC5" w:rsidRDefault="00E90487" w:rsidP="00BB7D0F">
      <w:pPr>
        <w:tabs>
          <w:tab w:val="left" w:pos="8192"/>
        </w:tabs>
        <w:spacing w:before="40" w:after="40" w:line="240" w:lineRule="auto"/>
        <w:rPr>
          <w:rFonts w:ascii="Tahoma" w:hAnsi="Tahoma" w:cs="Tahoma"/>
          <w:b/>
          <w:color w:val="000000" w:themeColor="text1"/>
          <w:szCs w:val="20"/>
          <w:lang w:val="el-GR"/>
        </w:rPr>
      </w:pPr>
      <w:r w:rsidRPr="000C4EC5">
        <w:rPr>
          <w:rFonts w:ascii="Tahoma" w:hAnsi="Tahoma" w:cs="Tahoma"/>
          <w:b/>
          <w:color w:val="000000" w:themeColor="text1"/>
          <w:szCs w:val="20"/>
          <w:lang w:val="el-GR"/>
        </w:rPr>
        <w:t xml:space="preserve">ΕΠΙΚΟΙΝΩΝΙΑ - ΠΛΗΡΟΦΟΡΗΣΗ </w:t>
      </w:r>
    </w:p>
    <w:p w:rsidR="00E90487" w:rsidRPr="000C4EC5" w:rsidRDefault="007A3C04" w:rsidP="00BB7D0F">
      <w:pPr>
        <w:widowControl w:val="0"/>
        <w:spacing w:before="40" w:after="40" w:line="240" w:lineRule="auto"/>
        <w:rPr>
          <w:rFonts w:ascii="Tahoma" w:hAnsi="Tahoma" w:cs="Tahoma"/>
          <w:color w:val="000000" w:themeColor="text1"/>
          <w:szCs w:val="20"/>
          <w:lang w:val="el-GR"/>
        </w:rPr>
      </w:pPr>
      <w:r w:rsidRPr="000C4EC5">
        <w:rPr>
          <w:rFonts w:ascii="Tahoma" w:hAnsi="Tahoma" w:cs="Tahoma"/>
          <w:color w:val="000000" w:themeColor="text1"/>
          <w:szCs w:val="20"/>
          <w:lang w:val="el-GR"/>
        </w:rPr>
        <w:t>Για αναλυτικότερες πληροφορίες σχετικά μ</w:t>
      </w:r>
      <w:r w:rsidR="008254C4" w:rsidRPr="000C4EC5">
        <w:rPr>
          <w:rFonts w:ascii="Tahoma" w:hAnsi="Tahoma" w:cs="Tahoma"/>
          <w:color w:val="000000" w:themeColor="text1"/>
          <w:szCs w:val="20"/>
          <w:lang w:val="el-GR"/>
        </w:rPr>
        <w:t>ε την υποβολή των προτάσεων, τη</w:t>
      </w:r>
      <w:r w:rsidRPr="000C4EC5">
        <w:rPr>
          <w:rFonts w:ascii="Tahoma" w:hAnsi="Tahoma" w:cs="Tahoma"/>
          <w:color w:val="000000" w:themeColor="text1"/>
          <w:szCs w:val="20"/>
          <w:lang w:val="el-GR"/>
        </w:rPr>
        <w:t xml:space="preserve"> συμπλήρωση των αιτήσεων στήριξης και άλλες διευκρινίσεις υπεύθυνοι είναι </w:t>
      </w:r>
      <w:r w:rsidR="008666F5" w:rsidRPr="000C4EC5">
        <w:rPr>
          <w:rFonts w:ascii="Tahoma" w:hAnsi="Tahoma" w:cs="Tahoma"/>
          <w:color w:val="000000" w:themeColor="text1"/>
          <w:szCs w:val="20"/>
          <w:lang w:val="el-GR"/>
        </w:rPr>
        <w:t xml:space="preserve">ο </w:t>
      </w:r>
      <w:r w:rsidR="00FA7640" w:rsidRPr="000C4EC5">
        <w:rPr>
          <w:rFonts w:ascii="Tahoma" w:hAnsi="Tahoma" w:cs="Tahoma"/>
          <w:color w:val="000000" w:themeColor="text1"/>
          <w:szCs w:val="20"/>
          <w:lang w:val="el-GR"/>
        </w:rPr>
        <w:t>κος</w:t>
      </w:r>
      <w:r w:rsidR="008666F5" w:rsidRPr="000C4EC5">
        <w:rPr>
          <w:rFonts w:ascii="Tahoma" w:hAnsi="Tahoma" w:cs="Tahoma"/>
          <w:color w:val="000000" w:themeColor="text1"/>
          <w:szCs w:val="20"/>
          <w:lang w:val="el-GR"/>
        </w:rPr>
        <w:t xml:space="preserve"> </w:t>
      </w:r>
      <w:r w:rsidR="00C72A87">
        <w:rPr>
          <w:rFonts w:ascii="Tahoma" w:hAnsi="Tahoma" w:cs="Tahoma"/>
          <w:color w:val="000000" w:themeColor="text1"/>
          <w:szCs w:val="20"/>
          <w:lang w:val="el-GR"/>
        </w:rPr>
        <w:t xml:space="preserve">Μιχάλης Σκορδάς, ο κος </w:t>
      </w:r>
      <w:r w:rsidR="003C1BB7" w:rsidRPr="000C4EC5">
        <w:rPr>
          <w:rFonts w:ascii="Tahoma" w:hAnsi="Tahoma" w:cs="Tahoma"/>
          <w:color w:val="000000" w:themeColor="text1"/>
          <w:szCs w:val="20"/>
          <w:lang w:val="el-GR"/>
        </w:rPr>
        <w:t>Νικόλαος Θωμαΐδης</w:t>
      </w:r>
      <w:r w:rsidRPr="000C4EC5">
        <w:rPr>
          <w:rFonts w:ascii="Tahoma" w:hAnsi="Tahoma" w:cs="Tahoma"/>
          <w:color w:val="000000" w:themeColor="text1"/>
          <w:szCs w:val="20"/>
          <w:lang w:val="el-GR"/>
        </w:rPr>
        <w:t xml:space="preserve"> και </w:t>
      </w:r>
      <w:r w:rsidR="00C72A87">
        <w:rPr>
          <w:rFonts w:ascii="Tahoma" w:hAnsi="Tahoma" w:cs="Tahoma"/>
          <w:color w:val="000000" w:themeColor="text1"/>
          <w:szCs w:val="20"/>
          <w:lang w:val="el-GR"/>
        </w:rPr>
        <w:t>η κα Άννα Χατζηλιάδου</w:t>
      </w:r>
      <w:r w:rsidRPr="000C4EC5">
        <w:rPr>
          <w:rFonts w:ascii="Tahoma" w:hAnsi="Tahoma" w:cs="Tahoma"/>
          <w:color w:val="000000" w:themeColor="text1"/>
          <w:szCs w:val="20"/>
          <w:lang w:val="el-GR"/>
        </w:rPr>
        <w:t xml:space="preserve">, τηλέφωνο: </w:t>
      </w:r>
      <w:r w:rsidR="003C104D">
        <w:rPr>
          <w:rFonts w:ascii="Tahoma" w:hAnsi="Tahoma" w:cs="Tahoma"/>
          <w:color w:val="000000" w:themeColor="text1"/>
          <w:szCs w:val="20"/>
          <w:lang w:val="el-GR"/>
        </w:rPr>
        <w:t>251062</w:t>
      </w:r>
      <w:r w:rsidR="009E1217">
        <w:rPr>
          <w:rFonts w:ascii="Tahoma" w:hAnsi="Tahoma" w:cs="Tahoma"/>
          <w:color w:val="000000" w:themeColor="text1"/>
          <w:szCs w:val="20"/>
        </w:rPr>
        <w:t>0</w:t>
      </w:r>
      <w:r w:rsidR="003C104D" w:rsidRPr="003C104D">
        <w:rPr>
          <w:rFonts w:ascii="Tahoma" w:hAnsi="Tahoma" w:cs="Tahoma"/>
          <w:color w:val="000000" w:themeColor="text1"/>
          <w:szCs w:val="20"/>
          <w:lang w:val="el-GR"/>
        </w:rPr>
        <w:t>459</w:t>
      </w:r>
      <w:r w:rsidRPr="000C4EC5">
        <w:rPr>
          <w:rFonts w:ascii="Tahoma" w:hAnsi="Tahoma" w:cs="Tahoma"/>
          <w:color w:val="000000" w:themeColor="text1"/>
          <w:szCs w:val="20"/>
          <w:lang w:val="el-GR"/>
        </w:rPr>
        <w:t xml:space="preserve">, e-mail: </w:t>
      </w:r>
      <w:hyperlink r:id="rId14" w:history="1">
        <w:r w:rsidR="003C1BB7" w:rsidRPr="000C4EC5">
          <w:rPr>
            <w:rStyle w:val="-"/>
            <w:rFonts w:ascii="Tahoma" w:hAnsi="Tahoma" w:cs="Tahoma"/>
            <w:szCs w:val="20"/>
            <w:lang w:val="en-GB"/>
          </w:rPr>
          <w:t>anka</w:t>
        </w:r>
        <w:r w:rsidR="003C1BB7" w:rsidRPr="000C4EC5">
          <w:rPr>
            <w:rStyle w:val="-"/>
            <w:rFonts w:ascii="Tahoma" w:hAnsi="Tahoma" w:cs="Tahoma"/>
            <w:szCs w:val="20"/>
            <w:lang w:val="el-GR"/>
          </w:rPr>
          <w:t>@</w:t>
        </w:r>
        <w:r w:rsidR="003C1BB7" w:rsidRPr="000C4EC5">
          <w:rPr>
            <w:rStyle w:val="-"/>
            <w:rFonts w:ascii="Tahoma" w:hAnsi="Tahoma" w:cs="Tahoma"/>
            <w:szCs w:val="20"/>
            <w:lang w:val="en-GB"/>
          </w:rPr>
          <w:t>ankavala</w:t>
        </w:r>
        <w:r w:rsidR="003C1BB7" w:rsidRPr="000C4EC5">
          <w:rPr>
            <w:rStyle w:val="-"/>
            <w:rFonts w:ascii="Tahoma" w:hAnsi="Tahoma" w:cs="Tahoma"/>
            <w:szCs w:val="20"/>
            <w:lang w:val="el-GR"/>
          </w:rPr>
          <w:t>.gr</w:t>
        </w:r>
      </w:hyperlink>
      <w:r w:rsidR="00954AE9" w:rsidRPr="000C4EC5">
        <w:rPr>
          <w:rFonts w:ascii="Tahoma" w:hAnsi="Tahoma" w:cs="Tahoma"/>
          <w:color w:val="000000" w:themeColor="text1"/>
          <w:szCs w:val="20"/>
          <w:lang w:val="el-GR"/>
        </w:rPr>
        <w:t>.</w:t>
      </w:r>
      <w:r w:rsidRPr="000C4EC5">
        <w:rPr>
          <w:rFonts w:ascii="Tahoma" w:hAnsi="Tahoma" w:cs="Tahoma"/>
          <w:color w:val="000000" w:themeColor="text1"/>
          <w:szCs w:val="20"/>
          <w:lang w:val="el-GR"/>
        </w:rPr>
        <w:t xml:space="preserve"> </w:t>
      </w:r>
      <w:r w:rsidR="00954AE9" w:rsidRPr="000C4EC5">
        <w:rPr>
          <w:rFonts w:ascii="Tahoma" w:hAnsi="Tahoma" w:cs="Tahoma"/>
          <w:color w:val="000000" w:themeColor="text1"/>
          <w:szCs w:val="20"/>
          <w:lang w:val="el-GR"/>
        </w:rPr>
        <w:t xml:space="preserve"> </w:t>
      </w:r>
    </w:p>
    <w:p w:rsidR="008A3CFB" w:rsidRPr="000C4EC5" w:rsidRDefault="008A3CFB" w:rsidP="00BB7D0F">
      <w:pPr>
        <w:widowControl w:val="0"/>
        <w:spacing w:before="40" w:after="40" w:line="240" w:lineRule="auto"/>
        <w:ind w:left="360"/>
        <w:jc w:val="center"/>
        <w:rPr>
          <w:rFonts w:ascii="Tahoma" w:hAnsi="Tahoma" w:cs="Tahoma"/>
          <w:b/>
          <w:color w:val="000000" w:themeColor="text1"/>
          <w:szCs w:val="20"/>
          <w:lang w:val="el-GR"/>
        </w:rPr>
      </w:pPr>
    </w:p>
    <w:p w:rsidR="003C1BB7" w:rsidRPr="000C4EC5" w:rsidRDefault="003C1BB7" w:rsidP="003C1BB7">
      <w:pPr>
        <w:pStyle w:val="a5"/>
        <w:spacing w:line="240" w:lineRule="auto"/>
        <w:ind w:left="0"/>
        <w:jc w:val="center"/>
        <w:rPr>
          <w:rFonts w:ascii="Tahoma" w:hAnsi="Tahoma" w:cs="Tahoma"/>
          <w:b/>
          <w:szCs w:val="20"/>
          <w:lang w:val="el-GR"/>
        </w:rPr>
      </w:pPr>
      <w:r w:rsidRPr="000C4EC5">
        <w:rPr>
          <w:rFonts w:ascii="Tahoma" w:hAnsi="Tahoma" w:cs="Tahoma"/>
          <w:b/>
          <w:szCs w:val="20"/>
          <w:lang w:val="el-GR"/>
        </w:rPr>
        <w:t xml:space="preserve">Ο Πρόεδρος της ΕΔΠ </w:t>
      </w:r>
      <w:r w:rsidRPr="000C4EC5">
        <w:rPr>
          <w:rFonts w:ascii="Tahoma" w:hAnsi="Tahoma" w:cs="Tahoma"/>
          <w:b/>
          <w:szCs w:val="20"/>
        </w:rPr>
        <w:t>CLLD</w:t>
      </w:r>
      <w:r w:rsidRPr="000C4EC5">
        <w:rPr>
          <w:rFonts w:ascii="Tahoma" w:hAnsi="Tahoma" w:cs="Tahoma"/>
          <w:b/>
          <w:szCs w:val="20"/>
          <w:lang w:val="el-GR"/>
        </w:rPr>
        <w:t>/</w:t>
      </w:r>
      <w:r w:rsidRPr="000C4EC5">
        <w:rPr>
          <w:rFonts w:ascii="Tahoma" w:hAnsi="Tahoma" w:cs="Tahoma"/>
          <w:b/>
          <w:szCs w:val="20"/>
        </w:rPr>
        <w:t>LEADER</w:t>
      </w:r>
      <w:r w:rsidRPr="000C4EC5">
        <w:rPr>
          <w:rFonts w:ascii="Tahoma" w:hAnsi="Tahoma" w:cs="Tahoma"/>
          <w:b/>
          <w:szCs w:val="20"/>
          <w:lang w:val="el-GR"/>
        </w:rPr>
        <w:t xml:space="preserve"> ΠΑΑ/ΕΠΑλΘ</w:t>
      </w:r>
    </w:p>
    <w:p w:rsidR="003C1BB7" w:rsidRPr="000C4EC5" w:rsidRDefault="003C1BB7" w:rsidP="003C1BB7">
      <w:pPr>
        <w:pStyle w:val="a5"/>
        <w:spacing w:line="240" w:lineRule="auto"/>
        <w:ind w:left="0"/>
        <w:jc w:val="center"/>
        <w:rPr>
          <w:rFonts w:ascii="Tahoma" w:hAnsi="Tahoma" w:cs="Tahoma"/>
          <w:b/>
          <w:szCs w:val="20"/>
        </w:rPr>
      </w:pPr>
      <w:r w:rsidRPr="000C4EC5">
        <w:rPr>
          <w:rFonts w:ascii="Tahoma" w:hAnsi="Tahoma" w:cs="Tahoma"/>
          <w:b/>
          <w:szCs w:val="20"/>
        </w:rPr>
        <w:t>Ν. Καβάλας</w:t>
      </w:r>
    </w:p>
    <w:p w:rsidR="003C1BB7" w:rsidRPr="000C4EC5" w:rsidRDefault="003C1BB7" w:rsidP="003C1BB7">
      <w:pPr>
        <w:pStyle w:val="a5"/>
        <w:spacing w:line="240" w:lineRule="auto"/>
        <w:ind w:left="0"/>
        <w:jc w:val="center"/>
        <w:rPr>
          <w:rFonts w:ascii="Tahoma" w:hAnsi="Tahoma" w:cs="Tahoma"/>
          <w:b/>
          <w:szCs w:val="20"/>
        </w:rPr>
      </w:pPr>
    </w:p>
    <w:p w:rsidR="003C1BB7" w:rsidRPr="000F5249" w:rsidRDefault="003C1BB7" w:rsidP="003C1BB7">
      <w:pPr>
        <w:pStyle w:val="a5"/>
        <w:spacing w:line="240" w:lineRule="auto"/>
        <w:ind w:left="0"/>
        <w:jc w:val="center"/>
        <w:rPr>
          <w:rFonts w:ascii="Tahoma" w:hAnsi="Tahoma" w:cs="Tahoma"/>
          <w:b/>
          <w:szCs w:val="20"/>
        </w:rPr>
      </w:pPr>
      <w:r w:rsidRPr="000C4EC5">
        <w:rPr>
          <w:rFonts w:ascii="Tahoma" w:hAnsi="Tahoma" w:cs="Tahoma"/>
          <w:b/>
          <w:szCs w:val="20"/>
        </w:rPr>
        <w:t>ΦΙΛΙΠΠΟΣ ΑΝΑΣΤΑΣΙΑΔΗΣ</w:t>
      </w:r>
    </w:p>
    <w:p w:rsidR="00954AE9" w:rsidRPr="008254C4" w:rsidRDefault="00954AE9" w:rsidP="00BB7D0F">
      <w:pPr>
        <w:widowControl w:val="0"/>
        <w:spacing w:before="40" w:after="40" w:line="240" w:lineRule="auto"/>
        <w:ind w:left="360"/>
        <w:jc w:val="center"/>
        <w:rPr>
          <w:rFonts w:ascii="Tahoma" w:hAnsi="Tahoma" w:cs="Tahoma"/>
          <w:b/>
          <w:color w:val="000000" w:themeColor="text1"/>
          <w:szCs w:val="20"/>
          <w:lang w:val="el-GR"/>
        </w:rPr>
      </w:pPr>
    </w:p>
    <w:sectPr w:rsidR="00954AE9" w:rsidRPr="008254C4" w:rsidSect="000122BD">
      <w:footerReference w:type="default" r:id="rId15"/>
      <w:footerReference w:type="first" r:id="rId16"/>
      <w:type w:val="continuous"/>
      <w:pgSz w:w="11906" w:h="16838"/>
      <w:pgMar w:top="709" w:right="1134"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3FF" w:rsidRDefault="006943FF" w:rsidP="0034289A">
      <w:pPr>
        <w:spacing w:before="0" w:after="0" w:line="240" w:lineRule="auto"/>
      </w:pPr>
      <w:r>
        <w:separator/>
      </w:r>
    </w:p>
  </w:endnote>
  <w:endnote w:type="continuationSeparator" w:id="0">
    <w:p w:rsidR="006943FF" w:rsidRDefault="006943FF" w:rsidP="0034289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Segoe UI">
    <w:panose1 w:val="020B0502040204020203"/>
    <w:charset w:val="A1"/>
    <w:family w:val="swiss"/>
    <w:pitch w:val="variable"/>
    <w:sig w:usb0="E00022FF" w:usb1="C000205B" w:usb2="00000009" w:usb3="00000000" w:csb0="000001DF" w:csb1="00000000"/>
  </w:font>
  <w:font w:name="Calibri Light">
    <w:altName w:val="Arial"/>
    <w:charset w:val="A1"/>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05B" w:rsidRPr="0034289A" w:rsidRDefault="0083005B" w:rsidP="00232F1E">
    <w:pPr>
      <w:pStyle w:val="a3"/>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00C94E7B" w:rsidRPr="005110E9">
      <w:rPr>
        <w:rFonts w:ascii="Tahoma" w:hAnsi="Tahoma" w:cs="Tahoma"/>
        <w:szCs w:val="20"/>
      </w:rPr>
      <w:fldChar w:fldCharType="begin"/>
    </w:r>
    <w:r w:rsidRPr="005110E9">
      <w:rPr>
        <w:rFonts w:ascii="Tahoma" w:hAnsi="Tahoma" w:cs="Tahoma"/>
        <w:szCs w:val="20"/>
      </w:rPr>
      <w:instrText xml:space="preserve"> PAGE   \* MERGEFORMAT </w:instrText>
    </w:r>
    <w:r w:rsidR="00C94E7B" w:rsidRPr="005110E9">
      <w:rPr>
        <w:rFonts w:ascii="Tahoma" w:hAnsi="Tahoma" w:cs="Tahoma"/>
        <w:szCs w:val="20"/>
      </w:rPr>
      <w:fldChar w:fldCharType="separate"/>
    </w:r>
    <w:r w:rsidR="009E1217">
      <w:rPr>
        <w:rFonts w:ascii="Tahoma" w:hAnsi="Tahoma" w:cs="Tahoma"/>
        <w:noProof/>
        <w:szCs w:val="20"/>
      </w:rPr>
      <w:t>11</w:t>
    </w:r>
    <w:r w:rsidR="00C94E7B" w:rsidRPr="005110E9">
      <w:rPr>
        <w:rFonts w:ascii="Tahoma" w:hAnsi="Tahoma" w:cs="Tahoma"/>
        <w:noProof/>
        <w:szCs w:val="20"/>
      </w:rPr>
      <w:fldChar w:fldCharType="end"/>
    </w:r>
    <w:r w:rsidRPr="005110E9">
      <w:rPr>
        <w:rFonts w:ascii="Tahoma" w:hAnsi="Tahoma" w:cs="Tahoma"/>
        <w:szCs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05B" w:rsidRDefault="0083005B" w:rsidP="006B0074">
    <w:pPr>
      <w:pStyle w:val="a3"/>
      <w:jc w:val="center"/>
    </w:pPr>
    <w:r w:rsidRPr="005110E9">
      <w:rPr>
        <w:rFonts w:ascii="Tahoma" w:hAnsi="Tahoma" w:cs="Tahoma"/>
        <w:szCs w:val="20"/>
      </w:rPr>
      <w:t xml:space="preserve">- </w:t>
    </w:r>
    <w:r w:rsidR="00C94E7B" w:rsidRPr="005110E9">
      <w:rPr>
        <w:rFonts w:ascii="Tahoma" w:hAnsi="Tahoma" w:cs="Tahoma"/>
        <w:szCs w:val="20"/>
      </w:rPr>
      <w:fldChar w:fldCharType="begin"/>
    </w:r>
    <w:r w:rsidRPr="005110E9">
      <w:rPr>
        <w:rFonts w:ascii="Tahoma" w:hAnsi="Tahoma" w:cs="Tahoma"/>
        <w:szCs w:val="20"/>
      </w:rPr>
      <w:instrText xml:space="preserve"> PAGE   \* MERGEFORMAT </w:instrText>
    </w:r>
    <w:r w:rsidR="00C94E7B" w:rsidRPr="005110E9">
      <w:rPr>
        <w:rFonts w:ascii="Tahoma" w:hAnsi="Tahoma" w:cs="Tahoma"/>
        <w:szCs w:val="20"/>
      </w:rPr>
      <w:fldChar w:fldCharType="separate"/>
    </w:r>
    <w:r w:rsidR="003C104D">
      <w:rPr>
        <w:rFonts w:ascii="Tahoma" w:hAnsi="Tahoma" w:cs="Tahoma"/>
        <w:noProof/>
        <w:szCs w:val="20"/>
      </w:rPr>
      <w:t>1</w:t>
    </w:r>
    <w:r w:rsidR="00C94E7B" w:rsidRPr="005110E9">
      <w:rPr>
        <w:rFonts w:ascii="Tahoma" w:hAnsi="Tahoma" w:cs="Tahoma"/>
        <w:noProof/>
        <w:szCs w:val="20"/>
      </w:rPr>
      <w:fldChar w:fldCharType="end"/>
    </w:r>
    <w:r w:rsidRPr="005110E9">
      <w:rPr>
        <w:rFonts w:ascii="Tahoma" w:hAnsi="Tahoma" w:cs="Tahoma"/>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3FF" w:rsidRDefault="006943FF" w:rsidP="0034289A">
      <w:pPr>
        <w:spacing w:before="0" w:after="0" w:line="240" w:lineRule="auto"/>
      </w:pPr>
      <w:r>
        <w:separator/>
      </w:r>
    </w:p>
  </w:footnote>
  <w:footnote w:type="continuationSeparator" w:id="0">
    <w:p w:rsidR="006943FF" w:rsidRDefault="006943FF" w:rsidP="0034289A">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773E"/>
    <w:multiLevelType w:val="hybridMultilevel"/>
    <w:tmpl w:val="B39297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3A75559"/>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FA25CFB"/>
    <w:multiLevelType w:val="hybridMultilevel"/>
    <w:tmpl w:val="89E6A0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113E1A19"/>
    <w:multiLevelType w:val="hybridMultilevel"/>
    <w:tmpl w:val="D1C0732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84A7893"/>
    <w:multiLevelType w:val="hybridMultilevel"/>
    <w:tmpl w:val="664606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1A630C8C"/>
    <w:multiLevelType w:val="hybridMultilevel"/>
    <w:tmpl w:val="EB2EE08E"/>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360" w:hanging="360"/>
      </w:pPr>
      <w:rPr>
        <w:rFonts w:ascii="Courier New" w:hAnsi="Courier New" w:cs="Courier New" w:hint="default"/>
      </w:rPr>
    </w:lvl>
    <w:lvl w:ilvl="2" w:tplc="04080005" w:tentative="1">
      <w:start w:val="1"/>
      <w:numFmt w:val="bullet"/>
      <w:lvlText w:val=""/>
      <w:lvlJc w:val="left"/>
      <w:pPr>
        <w:ind w:left="1080" w:hanging="360"/>
      </w:pPr>
      <w:rPr>
        <w:rFonts w:ascii="Wingdings" w:hAnsi="Wingdings" w:hint="default"/>
      </w:rPr>
    </w:lvl>
    <w:lvl w:ilvl="3" w:tplc="04080001" w:tentative="1">
      <w:start w:val="1"/>
      <w:numFmt w:val="bullet"/>
      <w:lvlText w:val=""/>
      <w:lvlJc w:val="left"/>
      <w:pPr>
        <w:ind w:left="1800" w:hanging="360"/>
      </w:pPr>
      <w:rPr>
        <w:rFonts w:ascii="Symbol" w:hAnsi="Symbol" w:hint="default"/>
      </w:rPr>
    </w:lvl>
    <w:lvl w:ilvl="4" w:tplc="04080003" w:tentative="1">
      <w:start w:val="1"/>
      <w:numFmt w:val="bullet"/>
      <w:lvlText w:val="o"/>
      <w:lvlJc w:val="left"/>
      <w:pPr>
        <w:ind w:left="2520" w:hanging="360"/>
      </w:pPr>
      <w:rPr>
        <w:rFonts w:ascii="Courier New" w:hAnsi="Courier New" w:cs="Courier New" w:hint="default"/>
      </w:rPr>
    </w:lvl>
    <w:lvl w:ilvl="5" w:tplc="04080005" w:tentative="1">
      <w:start w:val="1"/>
      <w:numFmt w:val="bullet"/>
      <w:lvlText w:val=""/>
      <w:lvlJc w:val="left"/>
      <w:pPr>
        <w:ind w:left="3240" w:hanging="360"/>
      </w:pPr>
      <w:rPr>
        <w:rFonts w:ascii="Wingdings" w:hAnsi="Wingdings" w:hint="default"/>
      </w:rPr>
    </w:lvl>
    <w:lvl w:ilvl="6" w:tplc="04080001" w:tentative="1">
      <w:start w:val="1"/>
      <w:numFmt w:val="bullet"/>
      <w:lvlText w:val=""/>
      <w:lvlJc w:val="left"/>
      <w:pPr>
        <w:ind w:left="3960" w:hanging="360"/>
      </w:pPr>
      <w:rPr>
        <w:rFonts w:ascii="Symbol" w:hAnsi="Symbol" w:hint="default"/>
      </w:rPr>
    </w:lvl>
    <w:lvl w:ilvl="7" w:tplc="04080003" w:tentative="1">
      <w:start w:val="1"/>
      <w:numFmt w:val="bullet"/>
      <w:lvlText w:val="o"/>
      <w:lvlJc w:val="left"/>
      <w:pPr>
        <w:ind w:left="4680" w:hanging="360"/>
      </w:pPr>
      <w:rPr>
        <w:rFonts w:ascii="Courier New" w:hAnsi="Courier New" w:cs="Courier New" w:hint="default"/>
      </w:rPr>
    </w:lvl>
    <w:lvl w:ilvl="8" w:tplc="04080005" w:tentative="1">
      <w:start w:val="1"/>
      <w:numFmt w:val="bullet"/>
      <w:lvlText w:val=""/>
      <w:lvlJc w:val="left"/>
      <w:pPr>
        <w:ind w:left="5400" w:hanging="360"/>
      </w:pPr>
      <w:rPr>
        <w:rFonts w:ascii="Wingdings" w:hAnsi="Wingdings" w:hint="default"/>
      </w:rPr>
    </w:lvl>
  </w:abstractNum>
  <w:abstractNum w:abstractNumId="9">
    <w:nsid w:val="1BEC5334"/>
    <w:multiLevelType w:val="hybridMultilevel"/>
    <w:tmpl w:val="665C5EB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1E223107"/>
    <w:multiLevelType w:val="hybridMultilevel"/>
    <w:tmpl w:val="E04089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624D9F"/>
    <w:multiLevelType w:val="hybridMultilevel"/>
    <w:tmpl w:val="2AAC6B58"/>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121C31"/>
    <w:multiLevelType w:val="hybridMultilevel"/>
    <w:tmpl w:val="5C3A8E3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25EC057D"/>
    <w:multiLevelType w:val="hybridMultilevel"/>
    <w:tmpl w:val="0B5289C2"/>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30AE405A"/>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31525DF4"/>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33546C01"/>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FD5994"/>
    <w:multiLevelType w:val="hybridMultilevel"/>
    <w:tmpl w:val="4BCAD96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0" w:hanging="360"/>
      </w:pPr>
      <w:rPr>
        <w:rFonts w:ascii="Courier New" w:hAnsi="Courier New" w:cs="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cs="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cs="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24">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43B5318B"/>
    <w:multiLevelType w:val="hybridMultilevel"/>
    <w:tmpl w:val="B5AC03A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45470AD6"/>
    <w:multiLevelType w:val="hybridMultilevel"/>
    <w:tmpl w:val="EC842BA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4AD47A40"/>
    <w:multiLevelType w:val="hybridMultilevel"/>
    <w:tmpl w:val="6596AB5C"/>
    <w:lvl w:ilvl="0" w:tplc="04080001">
      <w:start w:val="1"/>
      <w:numFmt w:val="bullet"/>
      <w:lvlText w:val=""/>
      <w:lvlJc w:val="left"/>
      <w:pPr>
        <w:ind w:left="360" w:hanging="360"/>
      </w:pPr>
      <w:rPr>
        <w:rFonts w:ascii="Symbol" w:hAnsi="Symbol"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53D9036B"/>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55624BA2"/>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FE10043"/>
    <w:multiLevelType w:val="hybridMultilevel"/>
    <w:tmpl w:val="17D6CFCE"/>
    <w:lvl w:ilvl="0" w:tplc="003E89B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619B53FD"/>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67D6512C"/>
    <w:multiLevelType w:val="multilevel"/>
    <w:tmpl w:val="344C935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696D4044"/>
    <w:multiLevelType w:val="hybridMultilevel"/>
    <w:tmpl w:val="048E1CB2"/>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A82501F"/>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nsid w:val="6AFF1020"/>
    <w:multiLevelType w:val="hybridMultilevel"/>
    <w:tmpl w:val="938003C2"/>
    <w:lvl w:ilvl="0" w:tplc="0408000F">
      <w:start w:val="1"/>
      <w:numFmt w:val="decimal"/>
      <w:lvlText w:val="%1."/>
      <w:lvlJc w:val="left"/>
      <w:pPr>
        <w:ind w:left="360" w:hanging="360"/>
      </w:pPr>
      <w:rPr>
        <w:rFonts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70135A92"/>
    <w:multiLevelType w:val="hybridMultilevel"/>
    <w:tmpl w:val="81D688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55739A"/>
    <w:multiLevelType w:val="hybridMultilevel"/>
    <w:tmpl w:val="3306F9B0"/>
    <w:lvl w:ilvl="0" w:tplc="B3D0BBDE">
      <w:numFmt w:val="bullet"/>
      <w:lvlText w:val="-"/>
      <w:lvlJc w:val="left"/>
      <w:pPr>
        <w:ind w:left="720" w:hanging="720"/>
      </w:pPr>
      <w:rPr>
        <w:rFonts w:ascii="Tahoma" w:eastAsiaTheme="minorEastAsia"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nsid w:val="7C7451AD"/>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32"/>
  </w:num>
  <w:num w:numId="3">
    <w:abstractNumId w:val="25"/>
  </w:num>
  <w:num w:numId="4">
    <w:abstractNumId w:val="23"/>
  </w:num>
  <w:num w:numId="5">
    <w:abstractNumId w:val="13"/>
  </w:num>
  <w:num w:numId="6">
    <w:abstractNumId w:val="35"/>
  </w:num>
  <w:num w:numId="7">
    <w:abstractNumId w:val="16"/>
  </w:num>
  <w:num w:numId="8">
    <w:abstractNumId w:val="21"/>
  </w:num>
  <w:num w:numId="9">
    <w:abstractNumId w:val="39"/>
  </w:num>
  <w:num w:numId="10">
    <w:abstractNumId w:val="30"/>
  </w:num>
  <w:num w:numId="11">
    <w:abstractNumId w:val="22"/>
  </w:num>
  <w:num w:numId="12">
    <w:abstractNumId w:val="11"/>
  </w:num>
  <w:num w:numId="13">
    <w:abstractNumId w:val="24"/>
  </w:num>
  <w:num w:numId="14">
    <w:abstractNumId w:val="12"/>
  </w:num>
  <w:num w:numId="15">
    <w:abstractNumId w:val="3"/>
  </w:num>
  <w:num w:numId="16">
    <w:abstractNumId w:val="34"/>
  </w:num>
  <w:num w:numId="17">
    <w:abstractNumId w:val="18"/>
  </w:num>
  <w:num w:numId="18">
    <w:abstractNumId w:val="2"/>
  </w:num>
  <w:num w:numId="19">
    <w:abstractNumId w:val="36"/>
  </w:num>
  <w:num w:numId="20">
    <w:abstractNumId w:val="31"/>
  </w:num>
  <w:num w:numId="21">
    <w:abstractNumId w:val="6"/>
  </w:num>
  <w:num w:numId="22">
    <w:abstractNumId w:val="15"/>
  </w:num>
  <w:num w:numId="23">
    <w:abstractNumId w:val="40"/>
  </w:num>
  <w:num w:numId="24">
    <w:abstractNumId w:val="5"/>
  </w:num>
  <w:num w:numId="25">
    <w:abstractNumId w:val="26"/>
  </w:num>
  <w:num w:numId="26">
    <w:abstractNumId w:val="19"/>
  </w:num>
  <w:num w:numId="27">
    <w:abstractNumId w:val="9"/>
  </w:num>
  <w:num w:numId="28">
    <w:abstractNumId w:val="8"/>
  </w:num>
  <w:num w:numId="29">
    <w:abstractNumId w:val="38"/>
  </w:num>
  <w:num w:numId="30">
    <w:abstractNumId w:val="0"/>
  </w:num>
  <w:num w:numId="31">
    <w:abstractNumId w:val="20"/>
  </w:num>
  <w:num w:numId="32">
    <w:abstractNumId w:val="33"/>
  </w:num>
  <w:num w:numId="33">
    <w:abstractNumId w:val="27"/>
  </w:num>
  <w:num w:numId="34">
    <w:abstractNumId w:val="17"/>
  </w:num>
  <w:num w:numId="35">
    <w:abstractNumId w:val="10"/>
  </w:num>
  <w:num w:numId="36">
    <w:abstractNumId w:val="37"/>
  </w:num>
  <w:num w:numId="37">
    <w:abstractNumId w:val="28"/>
  </w:num>
  <w:num w:numId="38">
    <w:abstractNumId w:val="29"/>
  </w:num>
  <w:num w:numId="39">
    <w:abstractNumId w:val="41"/>
  </w:num>
  <w:num w:numId="40">
    <w:abstractNumId w:val="14"/>
  </w:num>
  <w:num w:numId="41">
    <w:abstractNumId w:val="4"/>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4577"/>
  </w:hdrShapeDefaults>
  <w:footnotePr>
    <w:footnote w:id="-1"/>
    <w:footnote w:id="0"/>
  </w:footnotePr>
  <w:endnotePr>
    <w:endnote w:id="-1"/>
    <w:endnote w:id="0"/>
  </w:endnotePr>
  <w:compat/>
  <w:rsids>
    <w:rsidRoot w:val="0034289A"/>
    <w:rsid w:val="000122BD"/>
    <w:rsid w:val="00013475"/>
    <w:rsid w:val="000374E3"/>
    <w:rsid w:val="00057C55"/>
    <w:rsid w:val="000B36B4"/>
    <w:rsid w:val="000C4EC5"/>
    <w:rsid w:val="000D072C"/>
    <w:rsid w:val="000D69A2"/>
    <w:rsid w:val="000E0FDF"/>
    <w:rsid w:val="00111836"/>
    <w:rsid w:val="0013794A"/>
    <w:rsid w:val="001379EC"/>
    <w:rsid w:val="00152B77"/>
    <w:rsid w:val="001B02BE"/>
    <w:rsid w:val="001E3D29"/>
    <w:rsid w:val="0021585F"/>
    <w:rsid w:val="00232F1E"/>
    <w:rsid w:val="00237DAB"/>
    <w:rsid w:val="0024542A"/>
    <w:rsid w:val="00255F49"/>
    <w:rsid w:val="0027090D"/>
    <w:rsid w:val="002808D9"/>
    <w:rsid w:val="002F1186"/>
    <w:rsid w:val="00314D60"/>
    <w:rsid w:val="0034289A"/>
    <w:rsid w:val="0038226B"/>
    <w:rsid w:val="00392129"/>
    <w:rsid w:val="003A1DC7"/>
    <w:rsid w:val="003C104D"/>
    <w:rsid w:val="003C1BB7"/>
    <w:rsid w:val="004326E1"/>
    <w:rsid w:val="00464C62"/>
    <w:rsid w:val="004741D1"/>
    <w:rsid w:val="004B5A84"/>
    <w:rsid w:val="004D3018"/>
    <w:rsid w:val="004E5013"/>
    <w:rsid w:val="00505DBB"/>
    <w:rsid w:val="00525734"/>
    <w:rsid w:val="0052720A"/>
    <w:rsid w:val="00573498"/>
    <w:rsid w:val="005761F4"/>
    <w:rsid w:val="005A5C1A"/>
    <w:rsid w:val="005D305F"/>
    <w:rsid w:val="005D5509"/>
    <w:rsid w:val="005F259B"/>
    <w:rsid w:val="0060550C"/>
    <w:rsid w:val="006069F4"/>
    <w:rsid w:val="00622736"/>
    <w:rsid w:val="00671E83"/>
    <w:rsid w:val="0068000A"/>
    <w:rsid w:val="006943FF"/>
    <w:rsid w:val="006974C6"/>
    <w:rsid w:val="006A2772"/>
    <w:rsid w:val="006B0074"/>
    <w:rsid w:val="006B67A1"/>
    <w:rsid w:val="00727C28"/>
    <w:rsid w:val="00765FE4"/>
    <w:rsid w:val="00786108"/>
    <w:rsid w:val="007A391B"/>
    <w:rsid w:val="007A3C04"/>
    <w:rsid w:val="007A47B6"/>
    <w:rsid w:val="007A74E4"/>
    <w:rsid w:val="007C45E9"/>
    <w:rsid w:val="007D0ACD"/>
    <w:rsid w:val="0081220F"/>
    <w:rsid w:val="008254C4"/>
    <w:rsid w:val="0083005B"/>
    <w:rsid w:val="00854649"/>
    <w:rsid w:val="008653BD"/>
    <w:rsid w:val="008666F5"/>
    <w:rsid w:val="008859A0"/>
    <w:rsid w:val="00894207"/>
    <w:rsid w:val="008A3CFB"/>
    <w:rsid w:val="008C7F30"/>
    <w:rsid w:val="008E0551"/>
    <w:rsid w:val="008F7BB3"/>
    <w:rsid w:val="009003AF"/>
    <w:rsid w:val="00933DBE"/>
    <w:rsid w:val="0093528C"/>
    <w:rsid w:val="00954AE9"/>
    <w:rsid w:val="00997CB5"/>
    <w:rsid w:val="009D07EE"/>
    <w:rsid w:val="009D3846"/>
    <w:rsid w:val="009E1217"/>
    <w:rsid w:val="009F425B"/>
    <w:rsid w:val="00A37B3C"/>
    <w:rsid w:val="00A44EE9"/>
    <w:rsid w:val="00A546C6"/>
    <w:rsid w:val="00A77AE2"/>
    <w:rsid w:val="00A84970"/>
    <w:rsid w:val="00AA0B6A"/>
    <w:rsid w:val="00AA69F0"/>
    <w:rsid w:val="00AA724F"/>
    <w:rsid w:val="00AA781D"/>
    <w:rsid w:val="00AE6EDA"/>
    <w:rsid w:val="00B153B2"/>
    <w:rsid w:val="00B177D6"/>
    <w:rsid w:val="00B55B3E"/>
    <w:rsid w:val="00B76027"/>
    <w:rsid w:val="00BB7D0F"/>
    <w:rsid w:val="00C05203"/>
    <w:rsid w:val="00C340E4"/>
    <w:rsid w:val="00C53BD3"/>
    <w:rsid w:val="00C71559"/>
    <w:rsid w:val="00C72A87"/>
    <w:rsid w:val="00C94E7B"/>
    <w:rsid w:val="00CF41FF"/>
    <w:rsid w:val="00D2383D"/>
    <w:rsid w:val="00D40C6E"/>
    <w:rsid w:val="00D52DCA"/>
    <w:rsid w:val="00D52E1C"/>
    <w:rsid w:val="00D73F11"/>
    <w:rsid w:val="00D90FBC"/>
    <w:rsid w:val="00E90487"/>
    <w:rsid w:val="00EE2AB5"/>
    <w:rsid w:val="00EF13DB"/>
    <w:rsid w:val="00F01E38"/>
    <w:rsid w:val="00F4483A"/>
    <w:rsid w:val="00F564E0"/>
    <w:rsid w:val="00FA7640"/>
    <w:rsid w:val="00FB7BE9"/>
    <w:rsid w:val="00FE28A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89A"/>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34289A"/>
    <w:pPr>
      <w:tabs>
        <w:tab w:val="center" w:pos="4153"/>
        <w:tab w:val="right" w:pos="8306"/>
      </w:tabs>
      <w:spacing w:after="60" w:line="360" w:lineRule="auto"/>
    </w:pPr>
    <w:rPr>
      <w:rFonts w:ascii="Arial" w:hAnsi="Arial" w:cs="Arial"/>
      <w:lang w:eastAsia="el-GR"/>
    </w:rPr>
  </w:style>
  <w:style w:type="character" w:customStyle="1" w:styleId="Char">
    <w:name w:val="Υποσέλιδο Char"/>
    <w:aliases w:val="ft Char"/>
    <w:basedOn w:val="a0"/>
    <w:link w:val="a3"/>
    <w:uiPriority w:val="99"/>
    <w:rsid w:val="0034289A"/>
    <w:rPr>
      <w:rFonts w:ascii="Arial" w:eastAsia="Times New Roman" w:hAnsi="Arial" w:cs="Arial"/>
      <w:lang w:eastAsia="el-GR"/>
    </w:rPr>
  </w:style>
  <w:style w:type="paragraph" w:styleId="a4">
    <w:name w:val="header"/>
    <w:basedOn w:val="a"/>
    <w:link w:val="Char0"/>
    <w:uiPriority w:val="99"/>
    <w:unhideWhenUsed/>
    <w:rsid w:val="0034289A"/>
    <w:pPr>
      <w:tabs>
        <w:tab w:val="center" w:pos="4153"/>
        <w:tab w:val="right" w:pos="8306"/>
      </w:tabs>
      <w:spacing w:after="0" w:line="240" w:lineRule="auto"/>
    </w:pPr>
  </w:style>
  <w:style w:type="character" w:customStyle="1" w:styleId="Char0">
    <w:name w:val="Κεφαλίδα Char"/>
    <w:basedOn w:val="a0"/>
    <w:link w:val="a4"/>
    <w:uiPriority w:val="99"/>
    <w:rsid w:val="0034289A"/>
  </w:style>
  <w:style w:type="paragraph" w:styleId="a5">
    <w:name w:val="List Paragraph"/>
    <w:basedOn w:val="a"/>
    <w:uiPriority w:val="34"/>
    <w:qFormat/>
    <w:rsid w:val="0034289A"/>
    <w:pPr>
      <w:ind w:left="720"/>
    </w:pPr>
  </w:style>
  <w:style w:type="paragraph" w:styleId="a6">
    <w:name w:val="footnote text"/>
    <w:basedOn w:val="a"/>
    <w:link w:val="Char1"/>
    <w:uiPriority w:val="99"/>
    <w:semiHidden/>
    <w:rsid w:val="006974C6"/>
    <w:rPr>
      <w:szCs w:val="20"/>
    </w:rPr>
  </w:style>
  <w:style w:type="character" w:customStyle="1" w:styleId="Char1">
    <w:name w:val="Κείμενο υποσημείωσης Char"/>
    <w:basedOn w:val="a0"/>
    <w:link w:val="a6"/>
    <w:uiPriority w:val="99"/>
    <w:semiHidden/>
    <w:rsid w:val="006974C6"/>
    <w:rPr>
      <w:rFonts w:ascii="Verdana" w:eastAsia="Times New Roman" w:hAnsi="Verdana" w:cs="Times New Roman"/>
      <w:sz w:val="20"/>
      <w:szCs w:val="20"/>
      <w:lang w:val="en-US"/>
    </w:rPr>
  </w:style>
  <w:style w:type="character" w:styleId="a7">
    <w:name w:val="footnote reference"/>
    <w:uiPriority w:val="99"/>
    <w:semiHidden/>
    <w:rsid w:val="006974C6"/>
    <w:rPr>
      <w:vertAlign w:val="superscript"/>
    </w:rPr>
  </w:style>
  <w:style w:type="character" w:styleId="-">
    <w:name w:val="Hyperlink"/>
    <w:basedOn w:val="a0"/>
    <w:uiPriority w:val="99"/>
    <w:unhideWhenUsed/>
    <w:rsid w:val="00933DBE"/>
    <w:rPr>
      <w:color w:val="0563C1" w:themeColor="hyperlink"/>
      <w:u w:val="single"/>
    </w:rPr>
  </w:style>
  <w:style w:type="paragraph" w:styleId="a8">
    <w:name w:val="Balloon Text"/>
    <w:basedOn w:val="a"/>
    <w:link w:val="Char2"/>
    <w:uiPriority w:val="99"/>
    <w:semiHidden/>
    <w:unhideWhenUsed/>
    <w:rsid w:val="008A3CFB"/>
    <w:pPr>
      <w:spacing w:before="0"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8A3CFB"/>
    <w:rPr>
      <w:rFonts w:ascii="Segoe UI" w:eastAsia="Times New Roman" w:hAnsi="Segoe UI" w:cs="Segoe UI"/>
      <w:sz w:val="18"/>
      <w:szCs w:val="18"/>
      <w:lang w:val="en-US"/>
    </w:rPr>
  </w:style>
  <w:style w:type="table" w:styleId="a9">
    <w:name w:val="Table Grid"/>
    <w:basedOn w:val="a1"/>
    <w:uiPriority w:val="39"/>
    <w:rsid w:val="00727C28"/>
    <w:pPr>
      <w:spacing w:after="0" w:line="240" w:lineRule="auto"/>
    </w:pPr>
    <w:rPr>
      <w:rFonts w:eastAsiaTheme="minorEastAsia"/>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Char3"/>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basedOn w:val="a0"/>
    <w:link w:val="aa"/>
    <w:rsid w:val="00B55B3E"/>
    <w:rPr>
      <w:rFonts w:ascii="Times New Roman" w:eastAsia="Times New Roman" w:hAnsi="Times New Roman" w:cs="Times New Roman"/>
      <w:sz w:val="24"/>
      <w:szCs w:val="24"/>
      <w:lang w:eastAsia="el-GR"/>
    </w:rPr>
  </w:style>
  <w:style w:type="paragraph" w:customStyle="1" w:styleId="ab">
    <w:name w:val="Κείμενο"/>
    <w:basedOn w:val="a"/>
    <w:rsid w:val="008859A0"/>
    <w:pPr>
      <w:spacing w:before="60" w:after="60" w:line="280" w:lineRule="atLeast"/>
    </w:pPr>
    <w:rPr>
      <w:rFonts w:ascii="Arial" w:hAnsi="Arial" w:cs="Arial"/>
      <w:sz w:val="22"/>
      <w:szCs w:val="22"/>
      <w:lang w:val="el-GR" w:eastAsia="zh-CN"/>
    </w:rPr>
  </w:style>
  <w:style w:type="character" w:customStyle="1" w:styleId="1">
    <w:name w:val="Ανεπίλυτη αναφορά1"/>
    <w:basedOn w:val="a0"/>
    <w:uiPriority w:val="99"/>
    <w:semiHidden/>
    <w:unhideWhenUsed/>
    <w:rsid w:val="003A1D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pendyseis.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kavala.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otikianaptixi.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nka@ankaval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4BAD8-5FC4-4ADB-98EF-B5924ED3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1491</TotalTime>
  <Pages>11</Pages>
  <Words>7002</Words>
  <Characters>37816</Characters>
  <Application>Microsoft Office Word</Application>
  <DocSecurity>0</DocSecurity>
  <Lines>315</Lines>
  <Paragraphs>89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user1</cp:lastModifiedBy>
  <cp:revision>35</cp:revision>
  <cp:lastPrinted>2019-01-25T09:47:00Z</cp:lastPrinted>
  <dcterms:created xsi:type="dcterms:W3CDTF">2018-03-29T12:19:00Z</dcterms:created>
  <dcterms:modified xsi:type="dcterms:W3CDTF">2019-04-05T10:00:00Z</dcterms:modified>
</cp:coreProperties>
</file>