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F1F" w:rsidRPr="00EE2067" w:rsidRDefault="00EE2067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8"/>
          <w:szCs w:val="19"/>
        </w:rPr>
      </w:pPr>
      <w:r>
        <w:rPr>
          <w:rFonts w:ascii="Tahoma" w:hAnsi="Tahoma" w:cs="Tahoma"/>
          <w:b/>
          <w:color w:val="000000"/>
          <w:sz w:val="19"/>
          <w:szCs w:val="19"/>
        </w:rPr>
        <w:t>ΠΑΡΑΡΤΗΜΑ ΙΙ_10</w:t>
      </w:r>
    </w:p>
    <w:p w:rsidR="00EE2067" w:rsidRDefault="00EE2067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ΠΑΡΑΡΤΗΜΑ I</w:t>
      </w: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ΠΙΝΑΚΑΣ ΠΡΟΒΛΕΠΟΜΕΝΟΣ ΣΤΟ ΑΡΘΡΟ 38 ΤΗΣ ΣΥΝΘΗΚΗΣ ΓΙΑ ΤΗ ΛΕΙΤΟΥΡΓΙΑ ΤΗΣ ΕΥΡΩΠΑΪΚΗΣ ΕΝΩΣΗΣ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-1- | -2-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Κλάση της ονοματολογίας των Βρυξελλών | Περιγραφή εμπορευμάτων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 | Ζώα ζώντα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 | Κρέατα και βρώσιμα παραπροϊόντα σφαγίων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3 | Ιχθείς, μαλακόστρακα και μαλάκια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 | Γάλα και προϊόντα γαλακτοκομίας. Ωά πτηνών. Μέλι φυσικόν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05.04 | Έντερα, κύστεις και στόμαχοι ζώων, ολόκληρα ή εις τεμάχια, πλην των εξ ιχθύων τοιούτων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05.15 | Προϊόντα ζωικής προελεύσεως, μη αλλαχού κατονομαζόμενα ή περιλαμβανόμενα. Μη ζώντα ζώα των κεφαλαίων 1 και 3, ακατάλληλα διά την ανθρώπινη κατανάλωση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6 | Φυτά ζώντα και προϊόντα ανθοκομίας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7 | Λαχανικά, φυτά,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ρίζαι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κόνδυλοι, άπαντα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8 | Καρποί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οπώραι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εδώδιμοι. Φλοιοί εσπεριδοειδών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πεπόνων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9 | Καφές, τέιον και αρτύματα (μπαχαρικά), εξαιρέσει του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ματέ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κλάσις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0903)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11 | Προϊόντα αλευροποιίας, βύνη, άμυλα,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γλουτένη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ινουλίνη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12 | Σπέρματα και καρποί ελαιώδεις. Σπέρματα, σπόροι σποράς και διάφοροι καρποί. Βιομηχανικά και φαρμακευτικά φυτά. Άχυρα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χορτονομαί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13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13.03 | Πηκτίνη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15.01 | Λίπος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χοίρειον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υπό την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ονομασίαν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" και λοιπά χοίρεια λίπη, λαμβανόμενα διά πιέσεως ή τήξεως. Λίπη πουλερικών λαμβανόμενα διά πιέσεως ή τήξεως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15.02 | Λίπη βοοειδών,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προβατοειδών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αιγοειδών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ακατέργαστα ή τετηγμένα, περιλαμβανομένων και των λιπών των λεγομένων πρώτης εκθλίψεως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15.03 | Στεατίνη,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ελαιοστεατίνη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έλαιον του υπό την ονομασία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"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χοιρείου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λίπους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ελαιομαργαρίνη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άνευ προσθήκης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γαλακτοματοποιών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ουσιών, άνευ αναμείξεως ή παρασκευής τινός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15.04 | Λίπη και έλαια ιχθύων και θαλασσίων θηλαστικών,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15.07 | Έλαια φυσικά μόνιμα, ρευστά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αλοιφώδη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ακαθάριστα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κεκαθαρμένα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15.12 | Έλαια και λίπη ζωικά ή φυτικά υδρογονωμένα,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αλλ’ ουχί περαιτέρω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επεξειργασμένα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15.13 | Μαργαρίνη,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απομίμησις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χοιρείου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λίπους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simili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και έτερα βρώσιμα λίπη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lastRenderedPageBreak/>
        <w:t>15.17 | Υπολείμματα προκύπτοντα εκ της επεξεργασίας των λιπαρών ουσιών ή των ζωικών ή φυτικών κηρών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16 | Παρασκευάσματα κρεάτων, ιχθύων, μαλακοστράκων και μαλακίων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17.01 | Σάκχαρις τεύτλων και σακχαροκαλάμου,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στερεάν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κατάστασιν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17.02 | Έτερα σάκχαρα, σιρόπια. Υποκατάστατα του μέλιτος, έστω και μεμειγμένα μετά φυσικού μέλιτος. Σάκχαρα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κεκαυμέναι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17.03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αποχρωματισμέναι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17.05 [1] | Σάκχαρα, σιρόπια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άπαντα αρωματισμένα ή τεχνικώς κεχρωσμένα (περιλαμβανομένης και της δια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βανίλλης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βανιλλίνης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αρωματισμένης σακχάρεως), εξαιρουμένων των χυμών οπωρών μετά προσθήκης σακχάρεως εις πάσαν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αναλογίαν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18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Κακάον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εις βαλάνους και θραύσματα βαλάνων, ακατέργαστα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πεφρυγμένα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18.02 | Κελύφη, φλοιοί,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μεμβράναι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κακάου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20 | Παρασκευάσματα οσπρίων, λαχανικών, οπωρών και ετέρων φυτών ή μερών φυτών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22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22.04 | Γλεύκος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μερικώς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ζυμωθέν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αν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καθ’ οιονδήποτε έτερον τρόπον, εξαιρέσει της διά προσθήκης οινοπνεύματος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22.05 | Οίνοι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Γλεύκος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ούτινος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τη προσθήκη οινοπνεύματος (περιλαμβανομένων και των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μιστελίων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22.08 [1]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22.09 [1] | Αιθυλική αλκοόλη, μετουσιωμένη ή μη, οιουδήποτε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αλκοολομετρικού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τίτλου, λαμβανόμενη από γεωργικά προϊόντα περιλαμβανόμενα στο Παράρτημα Ι, εξαιρουμένων των αποσταγμάτων, ηδύποτων και ετέρων οινοπνευματωδών ποτών, συνθέτων αλκοολούχων παρασκευασμάτων (καλουμένων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συμπεπυκνωμένων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εκχυλισμάτων) δια την παρασκευή ποτών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22.10 [1]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Όξος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εδώδιμον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υποκατάστατα αυτού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23 | Υπολείμματα και απορρίμματα των βιομηχανιών ειδών διατροφής.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Τροφαί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δια ζώα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24.01 | Καπνός ακατέργαστος ή μη βιομηχανοποιημένος. Απορρίμματα καπνού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45.01 | Φελλός, φυσικός ακατέργαστος και απορρίμματα φελλού. Φελλός εις θραύσματα, κόκκους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κόνιν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54.01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Λίνον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ακατέργαστον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αποφλοιωμένον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κτενισμένον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άλλως πως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μη όμως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(περιλαμβανομένου και του εκ της ξάνσεως νημάτων, υφασμάτων ή ρακών προερχομένου λίνου)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57.01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Κάνναβις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Cannabis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sativa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ακατέργαστος,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αποφλοιωμένη, κτενισμένη ή άλλως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αλλά μη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καννάβεως (περιλαμβανομένων και των προερχομένων εκ της ξάνσεως νημάτων, υφασμάτων ή ρακών) |</w:t>
      </w:r>
    </w:p>
    <w:p w:rsidR="008A1F1F" w:rsidRDefault="008A1F1F" w:rsidP="00E508AD">
      <w:pPr>
        <w:jc w:val="both"/>
        <w:rPr>
          <w:b/>
          <w:caps/>
        </w:rPr>
      </w:pPr>
    </w:p>
    <w:p w:rsidR="001966D8" w:rsidRDefault="00E508AD" w:rsidP="00E508AD">
      <w:pPr>
        <w:jc w:val="both"/>
        <w:rPr>
          <w:b/>
          <w:caps/>
          <w:color w:val="1F497D"/>
        </w:rPr>
      </w:pPr>
      <w:r w:rsidRPr="00E508AD">
        <w:rPr>
          <w:b/>
          <w:caps/>
          <w:color w:val="4F81BD" w:themeColor="accent1"/>
        </w:rPr>
        <w:t xml:space="preserve">το σχετικό </w:t>
      </w:r>
      <w:r w:rsidRPr="00E508AD">
        <w:rPr>
          <w:b/>
          <w:caps/>
          <w:color w:val="4F81BD" w:themeColor="accent1"/>
          <w:lang w:val="en-US"/>
        </w:rPr>
        <w:t>link</w:t>
      </w:r>
      <w:r w:rsidRPr="00E508AD">
        <w:rPr>
          <w:b/>
          <w:caps/>
          <w:color w:val="4F81BD" w:themeColor="accent1"/>
        </w:rPr>
        <w:t xml:space="preserve"> </w:t>
      </w:r>
      <w:r w:rsidRPr="00E508AD">
        <w:rPr>
          <w:b/>
          <w:caps/>
          <w:color w:val="1F497D"/>
        </w:rPr>
        <w:t xml:space="preserve">αναφορικά με το  δασμολόγιο / κλάσεις ονοματολογίας  σχετικά με εφαρμογή των δράσεων μεταποίησης </w:t>
      </w:r>
      <w:r>
        <w:rPr>
          <w:b/>
          <w:caps/>
          <w:color w:val="1F497D"/>
        </w:rPr>
        <w:t>:</w:t>
      </w:r>
    </w:p>
    <w:p w:rsidR="008A1F1F" w:rsidRDefault="008A1F1F" w:rsidP="00E508AD">
      <w:pPr>
        <w:jc w:val="both"/>
        <w:rPr>
          <w:b/>
          <w:caps/>
        </w:rPr>
      </w:pPr>
    </w:p>
    <w:p w:rsidR="008A1F1F" w:rsidRDefault="003A3168" w:rsidP="008A1F1F">
      <w:pPr>
        <w:rPr>
          <w:rFonts w:eastAsia="Times New Roman" w:cs="Times New Roman"/>
          <w:color w:val="000000"/>
        </w:rPr>
      </w:pPr>
      <w:hyperlink r:id="rId4" w:tooltip="https://eur-lex.europa.eu/legal-content/EL/TXT/PDF/?uri=OJ:L:2017:282:FULL&amp;from=FR" w:history="1">
        <w:r w:rsidR="008A1F1F">
          <w:rPr>
            <w:rStyle w:val="-"/>
            <w:rFonts w:eastAsia="Times New Roman"/>
          </w:rPr>
          <w:t>https://eur-lex.europa.eu/legal-content/EL/TXT/PDF/?uri=OJ:L:2017:282:FULL&amp;from=FR</w:t>
        </w:r>
      </w:hyperlink>
    </w:p>
    <w:p w:rsidR="008A1F1F" w:rsidRDefault="008A1F1F" w:rsidP="008A1F1F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3A3168" w:rsidRDefault="003A3168" w:rsidP="003A3168">
      <w:pPr>
        <w:tabs>
          <w:tab w:val="num" w:pos="142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  <w:hyperlink r:id="rId5" w:history="1">
        <w:r w:rsidRPr="00AE1897">
          <w:rPr>
            <w:rStyle w:val="-"/>
            <w:rFonts w:ascii="Tahoma" w:hAnsi="Tahoma" w:cs="Tahoma"/>
            <w:sz w:val="20"/>
            <w:szCs w:val="20"/>
          </w:rPr>
          <w:t>https://eur-lex.europa.eu/legal-content/EL/TXT/PDF/?uri=CELEX:32017R1925&amp;from=EL</w:t>
        </w:r>
      </w:hyperlink>
      <w:r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</w:p>
    <w:p w:rsidR="008A1F1F" w:rsidRDefault="003A3168" w:rsidP="008A1F1F">
      <w:pPr>
        <w:shd w:val="clear" w:color="auto" w:fill="F5F5F5"/>
        <w:rPr>
          <w:rFonts w:eastAsia="Times New Roman" w:cs="Tahoma"/>
          <w:color w:val="000000"/>
          <w:sz w:val="24"/>
          <w:szCs w:val="24"/>
        </w:rPr>
      </w:pPr>
      <w:hyperlink r:id="rId6" w:tooltip="https://www.tariffnumber.com/2018" w:history="1">
        <w:r w:rsidR="008A1F1F">
          <w:rPr>
            <w:rStyle w:val="-"/>
            <w:rFonts w:eastAsia="Times New Roman" w:cs="Tahoma"/>
          </w:rPr>
          <w:t>https://www.tariffnumber.com/2018</w:t>
        </w:r>
      </w:hyperlink>
    </w:p>
    <w:p w:rsidR="008A1F1F" w:rsidRDefault="008A1F1F" w:rsidP="00E508AD">
      <w:pPr>
        <w:jc w:val="both"/>
        <w:rPr>
          <w:b/>
          <w:caps/>
        </w:rPr>
      </w:pPr>
    </w:p>
    <w:p w:rsidR="003A3168" w:rsidRPr="00E508AD" w:rsidRDefault="003A3168" w:rsidP="00E508AD">
      <w:pPr>
        <w:jc w:val="both"/>
        <w:rPr>
          <w:b/>
          <w:caps/>
        </w:rPr>
      </w:pPr>
    </w:p>
    <w:sectPr w:rsidR="003A3168" w:rsidRPr="00E508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6D8"/>
    <w:rsid w:val="001966D8"/>
    <w:rsid w:val="002A6731"/>
    <w:rsid w:val="003A3168"/>
    <w:rsid w:val="008A1F1F"/>
    <w:rsid w:val="00CB39C9"/>
    <w:rsid w:val="00E508AD"/>
    <w:rsid w:val="00EE2067"/>
    <w:rsid w:val="00E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84FE"/>
  <w15:docId w15:val="{DE0661AB-80CD-45A1-A424-BE6CF2C3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8A1F1F"/>
    <w:rPr>
      <w:color w:val="0000FF"/>
      <w:u w:val="single"/>
    </w:rPr>
  </w:style>
  <w:style w:type="character" w:styleId="a3">
    <w:name w:val="Unresolved Mention"/>
    <w:basedOn w:val="a0"/>
    <w:uiPriority w:val="99"/>
    <w:semiHidden/>
    <w:unhideWhenUsed/>
    <w:rsid w:val="003A3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riffnumber.com/2018" TargetMode="External"/><Relationship Id="rId5" Type="http://schemas.openxmlformats.org/officeDocument/2006/relationships/hyperlink" Target="https://eur-lex.europa.eu/legal-content/EL/TXT/PDF/?uri=CELEX:32017R1925&amp;from=EL" TargetMode="External"/><Relationship Id="rId4" Type="http://schemas.openxmlformats.org/officeDocument/2006/relationships/hyperlink" Target="https://eur-lex.europa.eu/legal-content/EL/TXT/PDF/?uri=OJ:L:2017:282:FULL&amp;from=F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ΤΖΟΥΜΑΚΑ ΕΥΑΓΓΕΛΙΑ</dc:creator>
  <cp:lastModifiedBy>CLLD/LEADER</cp:lastModifiedBy>
  <cp:revision>6</cp:revision>
  <dcterms:created xsi:type="dcterms:W3CDTF">2018-03-21T09:49:00Z</dcterms:created>
  <dcterms:modified xsi:type="dcterms:W3CDTF">2019-01-28T13:11:00Z</dcterms:modified>
</cp:coreProperties>
</file>